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2D2CDA0" w:rsidR="009D60D5" w:rsidRPr="001B5605" w:rsidRDefault="00E87F8B"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53564D">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182847C" w:rsidR="00C2145A" w:rsidRPr="001B5605" w:rsidRDefault="00C2145A" w:rsidP="007D7E63">
            <w:pPr>
              <w:rPr>
                <w:rFonts w:asciiTheme="minorHAnsi" w:hAnsiTheme="minorHAnsi"/>
                <w:b/>
                <w:sz w:val="24"/>
              </w:rPr>
            </w:pPr>
            <w:r w:rsidRPr="0053564D">
              <w:rPr>
                <w:rFonts w:asciiTheme="minorHAnsi" w:hAnsiTheme="minorHAnsi"/>
                <w:b/>
                <w:smallCaps/>
                <w:sz w:val="24"/>
              </w:rPr>
              <w:t>Numéro</w:t>
            </w:r>
            <w:r w:rsidR="009433E7" w:rsidRPr="0053564D">
              <w:rPr>
                <w:rFonts w:asciiTheme="minorHAnsi" w:hAnsiTheme="minorHAnsi"/>
                <w:b/>
                <w:smallCaps/>
                <w:sz w:val="24"/>
              </w:rPr>
              <w:t xml:space="preserve"> </w:t>
            </w:r>
            <w:r w:rsidRPr="0053564D">
              <w:rPr>
                <w:rFonts w:asciiTheme="minorHAnsi" w:hAnsiTheme="minorHAnsi"/>
                <w:b/>
                <w:smallCaps/>
                <w:sz w:val="24"/>
              </w:rPr>
              <w:t xml:space="preserve">: </w:t>
            </w:r>
            <w:r w:rsidR="00EF6F3D">
              <w:rPr>
                <w:rFonts w:asciiTheme="minorHAnsi" w:hAnsiTheme="minorHAnsi"/>
                <w:b/>
                <w:smallCaps/>
                <w:sz w:val="24"/>
              </w:rPr>
              <w:t>25-MR</w:t>
            </w:r>
            <w:r w:rsidR="00540DBA">
              <w:rPr>
                <w:rFonts w:asciiTheme="minorHAnsi" w:hAnsiTheme="minorHAnsi"/>
                <w:b/>
                <w:smallCaps/>
                <w:sz w:val="24"/>
              </w:rPr>
              <w:t>10409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E1312EA" w:rsidR="00741D2D" w:rsidRPr="001A032A" w:rsidRDefault="00EF6F3D" w:rsidP="001A032A">
            <w:pPr>
              <w:rPr>
                <w:rFonts w:asciiTheme="minorHAnsi" w:hAnsiTheme="minorHAnsi" w:cs="Arial"/>
                <w:i/>
                <w:sz w:val="24"/>
              </w:rPr>
            </w:pPr>
            <w:r w:rsidRPr="00EF6F3D">
              <w:rPr>
                <w:rFonts w:asciiTheme="minorHAnsi" w:hAnsiTheme="minorHAnsi" w:cs="Arial"/>
                <w:i/>
                <w:sz w:val="24"/>
              </w:rPr>
              <w:t xml:space="preserve">Accompagnement dans la mise en place d’un produit d’épargne règlementé dédié à la Diaspora pour la Caisse des Dépôts et Consignations du Cameroun </w:t>
            </w:r>
            <w:r w:rsidR="0052412F">
              <w:rPr>
                <w:rFonts w:asciiTheme="minorHAnsi" w:hAnsiTheme="minorHAnsi" w:cs="Arial"/>
                <w:i/>
                <w:sz w:val="24"/>
              </w:rPr>
              <w:t xml:space="preserve">(CDEC) </w:t>
            </w:r>
            <w:r w:rsidRPr="00EF6F3D">
              <w:rPr>
                <w:rFonts w:asciiTheme="minorHAnsi" w:hAnsiTheme="minorHAnsi" w:cs="Arial"/>
                <w:i/>
                <w:sz w:val="24"/>
              </w:rPr>
              <w:t>dans le cadre du projet DIASDEV</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BECD6B7" w:rsidR="00741D2D" w:rsidRPr="001B5605" w:rsidRDefault="00540DA7" w:rsidP="0053564D">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53564D">
              <w:rPr>
                <w:rFonts w:asciiTheme="minorHAnsi" w:hAnsiTheme="minorHAnsi" w:cs="Arial"/>
                <w:i/>
                <w:sz w:val="24"/>
                <w:highlight w:val="yellow"/>
              </w:rPr>
              <w:t xml:space="preserve"> </w:t>
            </w:r>
            <w:r w:rsidRPr="001B5605">
              <w:rPr>
                <w:rFonts w:asciiTheme="minorHAnsi" w:hAnsiTheme="minorHAnsi" w:cs="Arial"/>
                <w:i/>
                <w:sz w:val="24"/>
                <w:highlight w:val="yellow"/>
              </w:rPr>
              <w:t>qui pourront être réalisées</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5E213802" w:rsidR="00554974" w:rsidRPr="00E52245" w:rsidRDefault="006271C4" w:rsidP="00511F40">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Il est passé par</w:t>
            </w:r>
            <w:r w:rsidR="00554974" w:rsidRPr="00E52245">
              <w:rPr>
                <w:rFonts w:asciiTheme="minorHAnsi" w:hAnsiTheme="minorHAnsi" w:cstheme="minorHAnsi"/>
                <w:sz w:val="22"/>
                <w:szCs w:val="22"/>
              </w:rPr>
              <w:t xml:space="preserve"> : </w:t>
            </w:r>
          </w:p>
          <w:p w14:paraId="5649AA68" w14:textId="76C14207" w:rsidR="00707B69" w:rsidRDefault="00707B69" w:rsidP="00C25BF9">
            <w:pPr>
              <w:tabs>
                <w:tab w:val="left" w:pos="510"/>
                <w:tab w:val="left" w:pos="10977"/>
              </w:tabs>
              <w:spacing w:before="120"/>
              <w:ind w:right="83"/>
              <w:jc w:val="both"/>
              <w:rPr>
                <w:rFonts w:asciiTheme="minorHAnsi" w:hAnsiTheme="minorHAnsi" w:cstheme="minorHAnsi"/>
                <w:sz w:val="22"/>
                <w:szCs w:val="22"/>
              </w:rPr>
            </w:pPr>
          </w:p>
          <w:p w14:paraId="42614EF7" w14:textId="07815802" w:rsidR="00BD51ED" w:rsidRPr="006271C4" w:rsidRDefault="00BD51ED" w:rsidP="00C25BF9">
            <w:pPr>
              <w:tabs>
                <w:tab w:val="left" w:pos="510"/>
                <w:tab w:val="left" w:pos="10977"/>
              </w:tabs>
              <w:spacing w:before="120"/>
              <w:ind w:right="83"/>
              <w:jc w:val="both"/>
              <w:rPr>
                <w:rFonts w:asciiTheme="minorHAnsi" w:hAnsiTheme="minorHAnsi" w:cstheme="minorHAnsi"/>
                <w:sz w:val="22"/>
                <w:szCs w:val="22"/>
              </w:rPr>
            </w:pPr>
            <w:r w:rsidRPr="00E262D3">
              <w:rPr>
                <w:rFonts w:asciiTheme="minorHAnsi" w:hAnsiTheme="minorHAnsi" w:cstheme="minorHAnsi"/>
                <w:sz w:val="22"/>
                <w:szCs w:val="22"/>
              </w:rPr>
              <w:t>Procédure adaptée en application des articles L. 2123-1 et R. 2123-1 au R. 2123-7 du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E87F8B">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E87F8B">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E87F8B">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E87F8B">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E87F8B">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E87F8B">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E87F8B">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E87F8B">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E87F8B">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E87F8B">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E87F8B">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E87F8B">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E87F8B">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E87F8B">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E87F8B">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E87F8B">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E87F8B">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E87F8B">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E87F8B">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E87F8B">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E87F8B">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E87F8B">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E87F8B">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E87F8B">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E87F8B">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E87F8B">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E87F8B">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E87F8B">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E87F8B">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E87F8B">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E87F8B">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E87F8B">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E87F8B">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E87F8B">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E87F8B">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E87F8B">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E87F8B">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E87F8B">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E87F8B">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E87F8B">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E87F8B">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E87F8B">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6271C4"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Adresse du siège :</w:t>
            </w:r>
          </w:p>
          <w:p w14:paraId="37FAE282" w14:textId="77777777" w:rsidR="00DE1070" w:rsidRPr="006271C4"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Numéro d’immatriculation au registre du commerce et des sociétés :</w:t>
            </w:r>
          </w:p>
          <w:p w14:paraId="2ED05FB5" w14:textId="77777777" w:rsidR="00847898" w:rsidRPr="006271C4"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 xml:space="preserve">N° de TVA intra-communautaire (le cas échéant) : </w:t>
            </w:r>
          </w:p>
          <w:p w14:paraId="0AF46B5D" w14:textId="77777777" w:rsidR="00A86E43" w:rsidRPr="006271C4" w:rsidRDefault="00A86E43" w:rsidP="00A86E43">
            <w:pPr>
              <w:pStyle w:val="a"/>
              <w:widowControl w:val="0"/>
              <w:rPr>
                <w:rFonts w:asciiTheme="minorHAnsi" w:hAnsiTheme="minorHAnsi" w:cs="Arial"/>
                <w:highlight w:val="yellow"/>
              </w:rPr>
            </w:pPr>
          </w:p>
          <w:p w14:paraId="5DC782A2" w14:textId="77777777" w:rsidR="00847898" w:rsidRPr="00A86E43" w:rsidRDefault="00847898" w:rsidP="00A86E43">
            <w:pPr>
              <w:pStyle w:val="a"/>
              <w:widowControl w:val="0"/>
              <w:rPr>
                <w:rFonts w:asciiTheme="minorHAnsi" w:hAnsiTheme="minorHAnsi" w:cs="Arial"/>
              </w:rPr>
            </w:pPr>
            <w:r w:rsidRPr="006271C4">
              <w:rPr>
                <w:rFonts w:asciiTheme="minorHAnsi" w:hAnsiTheme="minorHAnsi" w:cs="Arial"/>
                <w:highlight w:val="yellow"/>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7B54D8E" w14:textId="77777777" w:rsidR="006271C4" w:rsidRDefault="0053564D" w:rsidP="006271C4">
      <w:pPr>
        <w:spacing w:before="240"/>
        <w:jc w:val="both"/>
        <w:rPr>
          <w:rFonts w:asciiTheme="minorHAnsi" w:hAnsiTheme="minorHAnsi" w:cs="Arial"/>
          <w:sz w:val="22"/>
        </w:rPr>
      </w:pPr>
      <w:r w:rsidRPr="0053564D">
        <w:rPr>
          <w:rFonts w:asciiTheme="minorHAnsi" w:hAnsiTheme="minorHAnsi" w:cs="Arial"/>
          <w:sz w:val="22"/>
        </w:rPr>
        <w:t>Dans le cadre du projet de coopération ci-après dénommé le « CONTRAT PRINCIPAL » (contrat bailleur) signé le 24/06/2019 entre l’Agence Française de Développement et à Expertise France, portant sur les « prestations en renforcement de capacités et en mobilisation d’expertise technique à l’international », EXPERTISE FRANCE demande au CONTRACTANT qui l’accepte, de réaliser au titre du présent CONTRAT les prestations décrites dans l’annexe technique jointe « Termes de référence ».</w:t>
      </w:r>
    </w:p>
    <w:p w14:paraId="704EEA84" w14:textId="25D49718" w:rsidR="00DE1070" w:rsidRPr="00A86E43" w:rsidRDefault="00DE1070" w:rsidP="006271C4">
      <w:pPr>
        <w:spacing w:before="240"/>
        <w:jc w:val="both"/>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60E94F16" w14:textId="5920A9AA" w:rsidR="006271C4" w:rsidRDefault="00E551F2" w:rsidP="006271C4">
      <w:pPr>
        <w:pStyle w:val="u"/>
        <w:widowControl w:val="0"/>
        <w:spacing w:before="240"/>
        <w:ind w:left="561"/>
        <w:rPr>
          <w:rFonts w:asciiTheme="minorHAnsi" w:hAnsiTheme="minorHAnsi" w:cs="Arial"/>
          <w:i/>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6271C4">
        <w:rPr>
          <w:rFonts w:asciiTheme="minorHAnsi" w:hAnsiTheme="minorHAnsi" w:cs="Arial"/>
        </w:rPr>
        <w:t xml:space="preserve">la </w:t>
      </w:r>
      <w:r w:rsidR="00AC48DD" w:rsidRPr="00A86E43">
        <w:rPr>
          <w:rFonts w:asciiTheme="minorHAnsi" w:hAnsiTheme="minorHAnsi" w:cs="Arial"/>
        </w:rPr>
        <w:t>« </w:t>
      </w:r>
      <w:bookmarkStart w:id="6" w:name="_Toc126921970"/>
      <w:r w:rsidR="0052412F" w:rsidRPr="0052412F">
        <w:rPr>
          <w:rFonts w:asciiTheme="minorHAnsi" w:hAnsiTheme="minorHAnsi" w:cs="Arial"/>
          <w:i/>
        </w:rPr>
        <w:t>Accompagnement dans la mise en place d’un produit d’épargne règlementé dédié à la Diaspora pour la Caisse des Dépôts et Consignations du Cameroun (CDEC) dans le cadre du projet DIASDEV</w:t>
      </w:r>
      <w:r w:rsidR="0052412F">
        <w:rPr>
          <w:rFonts w:asciiTheme="minorHAnsi" w:hAnsiTheme="minorHAnsi" w:cs="Arial"/>
          <w:i/>
        </w:rPr>
        <w:t xml:space="preserve"> </w:t>
      </w:r>
      <w:r w:rsidR="006271C4">
        <w:rPr>
          <w:rFonts w:asciiTheme="minorHAnsi" w:hAnsiTheme="minorHAnsi" w:cs="Arial"/>
          <w:i/>
        </w:rPr>
        <w:t>»</w:t>
      </w:r>
    </w:p>
    <w:p w14:paraId="78C1469E" w14:textId="371CA4C1" w:rsidR="001726C5" w:rsidRPr="00A86E43" w:rsidRDefault="001726C5" w:rsidP="006271C4">
      <w:pPr>
        <w:pStyle w:val="u"/>
        <w:widowControl w:val="0"/>
        <w:spacing w:before="240"/>
        <w:ind w:left="0"/>
        <w:rPr>
          <w:rFonts w:asciiTheme="minorHAnsi" w:hAnsiTheme="minorHAnsi"/>
          <w:b/>
          <w:caps/>
          <w:sz w:val="24"/>
          <w:u w:val="single"/>
        </w:rPr>
      </w:pPr>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3975918C" w14:textId="77777777" w:rsidR="006271C4" w:rsidRPr="00A86E43" w:rsidRDefault="006271C4" w:rsidP="006271C4">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 et ses annexes :</w:t>
      </w:r>
    </w:p>
    <w:p w14:paraId="6E5D733C" w14:textId="77777777" w:rsidR="006271C4" w:rsidRPr="00A86E43" w:rsidRDefault="006271C4" w:rsidP="006271C4">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Pr>
          <w:rFonts w:asciiTheme="minorHAnsi" w:hAnsiTheme="minorHAnsi" w:cstheme="minorHAnsi"/>
          <w:szCs w:val="22"/>
        </w:rPr>
        <w:t>Termes de référence</w:t>
      </w:r>
      <w:r w:rsidRPr="00A86E43">
        <w:rPr>
          <w:rFonts w:asciiTheme="minorHAnsi" w:hAnsiTheme="minorHAnsi" w:cstheme="minorHAnsi"/>
          <w:szCs w:val="22"/>
        </w:rPr>
        <w:t> ;</w:t>
      </w:r>
    </w:p>
    <w:p w14:paraId="121ABAAA" w14:textId="77777777" w:rsidR="006271C4" w:rsidRPr="00A86E43" w:rsidRDefault="006271C4" w:rsidP="006271C4">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Pr>
          <w:rFonts w:asciiTheme="minorHAnsi" w:eastAsia="Times New Roman" w:hAnsiTheme="minorHAnsi" w:cstheme="minorHAnsi"/>
          <w:sz w:val="22"/>
          <w:szCs w:val="22"/>
        </w:rPr>
        <w:t xml:space="preserve">via le lien suivant : </w:t>
      </w:r>
      <w:hyperlink r:id="rId14" w:history="1">
        <w:r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677B498" w14:textId="77777777" w:rsidR="006271C4" w:rsidRPr="00922FC1" w:rsidRDefault="006271C4" w:rsidP="006271C4">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 xml:space="preserve">CCAG - Cahier des clauses administratives générales applicables aux marchés de prestations intellectuelles approuvé par arrêté du 30 mars 2021 sous réserve des dérogations stipulées dans le présent contrat. </w:t>
      </w:r>
    </w:p>
    <w:p w14:paraId="595804D5" w14:textId="77777777" w:rsidR="006271C4" w:rsidRPr="00922FC1" w:rsidRDefault="006271C4" w:rsidP="006271C4">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La décomposition globale et forfaitaire du prix (DPGF)</w:t>
      </w:r>
    </w:p>
    <w:p w14:paraId="20BE4283" w14:textId="77777777" w:rsidR="006271C4" w:rsidRPr="00A86E43" w:rsidRDefault="006271C4" w:rsidP="006271C4">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6CA5053C"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11C6B740" w14:textId="0289C09B" w:rsidR="006271C4" w:rsidRDefault="006271C4" w:rsidP="006271C4"/>
    <w:p w14:paraId="79AEA012" w14:textId="54E57A2A" w:rsidR="006271C4" w:rsidRPr="006271C4" w:rsidRDefault="006271C4" w:rsidP="006271C4">
      <w:r w:rsidRPr="006271C4">
        <w:t>Le présent CONTRAT est marché public de services conclu à prix global et forfaitaire.</w:t>
      </w:r>
    </w:p>
    <w:p w14:paraId="32BD01F2" w14:textId="7E5BE769" w:rsidR="000A6E96" w:rsidRDefault="000A6E96" w:rsidP="00F72033">
      <w:pPr>
        <w:pStyle w:val="Titre2"/>
        <w:spacing w:before="120" w:after="60"/>
        <w:rPr>
          <w:rFonts w:asciiTheme="minorHAnsi" w:hAnsiTheme="minorHAnsi"/>
          <w:sz w:val="22"/>
        </w:rPr>
      </w:pPr>
      <w:bookmarkStart w:id="10" w:name="_Toc392669632"/>
      <w:bookmarkStart w:id="11" w:name="_Toc126921973"/>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w:t>
      </w:r>
      <w:bookmarkEnd w:id="11"/>
      <w:r w:rsidR="006271C4">
        <w:rPr>
          <w:rFonts w:asciiTheme="minorHAnsi" w:hAnsiTheme="minorHAnsi"/>
          <w:sz w:val="22"/>
        </w:rPr>
        <w:t>t</w:t>
      </w:r>
    </w:p>
    <w:p w14:paraId="26C99777" w14:textId="6DF9F2CD" w:rsidR="006271C4" w:rsidRDefault="006271C4" w:rsidP="006271C4"/>
    <w:p w14:paraId="469311E5" w14:textId="1571A205" w:rsidR="006271C4" w:rsidRDefault="00F42416" w:rsidP="006271C4">
      <w:r>
        <w:t>La durée du CONTRAT est de 12</w:t>
      </w:r>
      <w:r w:rsidR="006271C4">
        <w:t xml:space="preserve"> mois à compter de sa date de notification au CONTRACTANT par EXPERTISE FRANCE.</w:t>
      </w:r>
    </w:p>
    <w:p w14:paraId="28E48C7F" w14:textId="13225EDA" w:rsidR="006271C4" w:rsidRPr="006271C4" w:rsidRDefault="006271C4" w:rsidP="006271C4">
      <w:r>
        <w:t>Le CONTRAT prendra fin après parfaite et totale exécution des prestations du CONTRACTANT et extinction des droits et obligations de chaque partie découlant du CONTRAT. Si tout ou partie des prestations ne sont pas réalisées dans le délai imparti, le CONTRACTANT devra immédiatement prendre toutes les mesures nécessaires pour rattraper le retard sans pouvoir prétendre à une quelconque rémunération à ce titre.</w:t>
      </w:r>
    </w:p>
    <w:p w14:paraId="7B2EAE41" w14:textId="6094E9CE" w:rsidR="001E12A9" w:rsidRPr="00A86E43" w:rsidRDefault="001E12A9" w:rsidP="001E12A9">
      <w:pPr>
        <w:pStyle w:val="Titre2"/>
        <w:spacing w:before="120" w:after="60"/>
        <w:rPr>
          <w:rFonts w:asciiTheme="minorHAnsi" w:hAnsiTheme="minorHAnsi"/>
          <w:sz w:val="22"/>
        </w:rPr>
      </w:pPr>
      <w:bookmarkStart w:id="12"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23752E84" w14:textId="3B85CAC0" w:rsidR="006271C4" w:rsidRPr="00044305"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b/>
          <w:smallCaps/>
          <w:sz w:val="22"/>
        </w:rPr>
      </w:pPr>
      <w:bookmarkStart w:id="13" w:name="_Toc126921975"/>
      <w:r w:rsidRPr="006271C4">
        <w:rPr>
          <w:rFonts w:asciiTheme="minorHAnsi" w:eastAsia="Times New Roman" w:hAnsiTheme="minorHAnsi" w:cs="Arial"/>
          <w:sz w:val="22"/>
        </w:rPr>
        <w:t xml:space="preserve">Le délai d’exécution des prestations attendues au titre </w:t>
      </w:r>
      <w:r w:rsidRPr="00044305">
        <w:rPr>
          <w:rFonts w:asciiTheme="minorHAnsi" w:eastAsia="Times New Roman" w:hAnsiTheme="minorHAnsi" w:cs="Arial"/>
          <w:sz w:val="22"/>
        </w:rPr>
        <w:t xml:space="preserve">du présent </w:t>
      </w:r>
      <w:r w:rsidRPr="00044305">
        <w:rPr>
          <w:rFonts w:asciiTheme="minorHAnsi" w:eastAsia="Times New Roman" w:hAnsiTheme="minorHAnsi" w:cs="Arial"/>
          <w:smallCaps/>
          <w:sz w:val="22"/>
        </w:rPr>
        <w:t>Contrat</w:t>
      </w:r>
      <w:r w:rsidRPr="00044305">
        <w:rPr>
          <w:rFonts w:asciiTheme="minorHAnsi" w:eastAsia="Times New Roman" w:hAnsiTheme="minorHAnsi" w:cs="Arial"/>
          <w:sz w:val="22"/>
        </w:rPr>
        <w:t xml:space="preserve"> est fixé à </w:t>
      </w:r>
      <w:r w:rsidR="00044305" w:rsidRPr="00044305">
        <w:rPr>
          <w:rFonts w:asciiTheme="minorHAnsi" w:eastAsia="Times New Roman" w:hAnsiTheme="minorHAnsi" w:cs="Arial"/>
          <w:b/>
          <w:sz w:val="22"/>
        </w:rPr>
        <w:t>5</w:t>
      </w:r>
      <w:r w:rsidR="007D7E63" w:rsidRPr="00044305">
        <w:rPr>
          <w:rFonts w:asciiTheme="minorHAnsi" w:eastAsia="Times New Roman" w:hAnsiTheme="minorHAnsi" w:cs="Arial"/>
          <w:b/>
          <w:sz w:val="22"/>
        </w:rPr>
        <w:t xml:space="preserve"> </w:t>
      </w:r>
      <w:r w:rsidRPr="00044305">
        <w:rPr>
          <w:rFonts w:asciiTheme="minorHAnsi" w:eastAsia="Times New Roman" w:hAnsiTheme="minorHAnsi" w:cs="Arial"/>
          <w:b/>
          <w:sz w:val="22"/>
        </w:rPr>
        <w:t xml:space="preserve">mois à compter de la date de notification du présent </w:t>
      </w:r>
      <w:r w:rsidRPr="00044305">
        <w:rPr>
          <w:rFonts w:asciiTheme="minorHAnsi" w:eastAsia="Times New Roman" w:hAnsiTheme="minorHAnsi" w:cs="Arial"/>
          <w:b/>
          <w:smallCaps/>
          <w:sz w:val="22"/>
        </w:rPr>
        <w:t xml:space="preserve">contrat. </w:t>
      </w:r>
    </w:p>
    <w:p w14:paraId="618643B6" w14:textId="0FA039F6" w:rsidR="006271C4" w:rsidRPr="00044305"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b/>
          <w:sz w:val="22"/>
        </w:rPr>
      </w:pPr>
      <w:r w:rsidRPr="00044305">
        <w:rPr>
          <w:rFonts w:asciiTheme="minorHAnsi" w:eastAsia="Times New Roman" w:hAnsiTheme="minorHAnsi" w:cs="Arial"/>
          <w:b/>
          <w:sz w:val="22"/>
        </w:rPr>
        <w:t xml:space="preserve">L’ensemble des postes doivent être exécutés en </w:t>
      </w:r>
      <w:r w:rsidR="00044305" w:rsidRPr="00044305">
        <w:rPr>
          <w:rFonts w:asciiTheme="minorHAnsi" w:eastAsia="Times New Roman" w:hAnsiTheme="minorHAnsi" w:cs="Arial"/>
          <w:b/>
          <w:sz w:val="22"/>
        </w:rPr>
        <w:t>5</w:t>
      </w:r>
      <w:r w:rsidRPr="00044305">
        <w:rPr>
          <w:rFonts w:asciiTheme="minorHAnsi" w:eastAsia="Times New Roman" w:hAnsiTheme="minorHAnsi" w:cs="Arial"/>
          <w:b/>
          <w:sz w:val="22"/>
        </w:rPr>
        <w:t xml:space="preserve"> mois, sauf la participation à l’évènement de clôture qui se tiendra en novembre 2026.</w:t>
      </w:r>
    </w:p>
    <w:p w14:paraId="76E07B13" w14:textId="77777777" w:rsidR="006271C4" w:rsidRPr="006271C4"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044305">
        <w:rPr>
          <w:rFonts w:asciiTheme="minorHAnsi" w:eastAsia="Times New Roman" w:hAnsiTheme="minorHAnsi" w:cs="Arial"/>
          <w:sz w:val="22"/>
        </w:rPr>
        <w:t>Si tout ou partie des prestations ne sont pas réalisées d</w:t>
      </w:r>
      <w:r w:rsidRPr="006271C4">
        <w:rPr>
          <w:rFonts w:asciiTheme="minorHAnsi" w:eastAsia="Times New Roman" w:hAnsiTheme="minorHAnsi" w:cs="Arial"/>
          <w:sz w:val="22"/>
        </w:rPr>
        <w:t xml:space="preserve">ans les délais prévus, le </w:t>
      </w:r>
      <w:r w:rsidRPr="006271C4">
        <w:rPr>
          <w:rFonts w:asciiTheme="minorHAnsi" w:eastAsia="Times New Roman" w:hAnsiTheme="minorHAnsi" w:cs="Arial"/>
          <w:smallCaps/>
          <w:sz w:val="22"/>
        </w:rPr>
        <w:t>Contractant</w:t>
      </w:r>
      <w:r w:rsidRPr="006271C4">
        <w:rPr>
          <w:rFonts w:asciiTheme="minorHAnsi" w:eastAsia="Times New Roman" w:hAnsiTheme="minorHAnsi" w:cs="Arial"/>
          <w:sz w:val="22"/>
        </w:rPr>
        <w:t xml:space="preserve"> devra immédiatement prendre toutes les mesures nécessaires pour rattraper le retard sans pouvoir prétendre à une quelconque rémunération à ce titre.</w:t>
      </w:r>
    </w:p>
    <w:p w14:paraId="478B4642" w14:textId="3A6CE9A2"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bookmarkEnd w:id="13"/>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09390AFA" w14:textId="313909A2" w:rsidR="006271C4" w:rsidRPr="006271C4" w:rsidRDefault="00E849ED" w:rsidP="006271C4">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3DE780A" w14:textId="77777777" w:rsidR="006271C4" w:rsidRPr="006271C4" w:rsidRDefault="006271C4" w:rsidP="006271C4">
      <w:pPr>
        <w:widowControl w:val="0"/>
        <w:numPr>
          <w:ilvl w:val="12"/>
          <w:numId w:val="0"/>
        </w:numPr>
        <w:overflowPunct w:val="0"/>
        <w:autoSpaceDE w:val="0"/>
        <w:autoSpaceDN w:val="0"/>
        <w:adjustRightInd w:val="0"/>
        <w:spacing w:before="240" w:after="120" w:line="240" w:lineRule="auto"/>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 xml:space="preserve">Le montant du </w:t>
      </w:r>
      <w:r w:rsidRPr="006271C4">
        <w:rPr>
          <w:rFonts w:asciiTheme="minorHAnsi" w:eastAsia="Times New Roman" w:hAnsiTheme="minorHAnsi" w:cstheme="minorHAnsi"/>
          <w:smallCaps/>
          <w:sz w:val="22"/>
          <w:szCs w:val="22"/>
        </w:rPr>
        <w:t xml:space="preserve">Contrat </w:t>
      </w:r>
      <w:r w:rsidRPr="006271C4">
        <w:rPr>
          <w:rFonts w:asciiTheme="minorHAnsi" w:eastAsia="Times New Roman" w:hAnsiTheme="minorHAnsi" w:cstheme="minorHAnsi"/>
          <w:sz w:val="22"/>
          <w:szCs w:val="22"/>
        </w:rPr>
        <w:t xml:space="preserve">s’élève à : </w:t>
      </w:r>
      <w:r w:rsidRPr="006271C4">
        <w:rPr>
          <w:rFonts w:asciiTheme="minorHAnsi" w:eastAsia="Times New Roman" w:hAnsiTheme="minorHAnsi" w:cstheme="minorHAnsi"/>
          <w:sz w:val="22"/>
          <w:szCs w:val="22"/>
          <w:highlight w:val="yellow"/>
        </w:rPr>
        <w:t>Indiquer montant € HT (hors taxe).</w:t>
      </w:r>
    </w:p>
    <w:p w14:paraId="08AFC245" w14:textId="77777777" w:rsidR="006271C4" w:rsidRPr="006271C4" w:rsidRDefault="006271C4" w:rsidP="006271C4">
      <w:pPr>
        <w:rPr>
          <w:sz w:val="22"/>
        </w:rPr>
      </w:pPr>
      <w:r w:rsidRPr="006271C4">
        <w:rPr>
          <w:rFonts w:asciiTheme="minorHAnsi" w:hAnsiTheme="minorHAnsi" w:cstheme="minorHAnsi"/>
          <w:sz w:val="22"/>
          <w:szCs w:val="22"/>
        </w:rPr>
        <w:t>Le prix pour chaque élément de mission est fixé dans la décomposition globale et forfaitaire du prix (DPGF)</w:t>
      </w:r>
    </w:p>
    <w:p w14:paraId="59BC921A" w14:textId="77777777" w:rsidR="006271C4" w:rsidRPr="006271C4" w:rsidRDefault="006271C4" w:rsidP="006271C4">
      <w:pPr>
        <w:widowControl w:val="0"/>
        <w:numPr>
          <w:ilvl w:val="12"/>
          <w:numId w:val="0"/>
        </w:numPr>
        <w:overflowPunct w:val="0"/>
        <w:autoSpaceDE w:val="0"/>
        <w:autoSpaceDN w:val="0"/>
        <w:adjustRightInd w:val="0"/>
        <w:spacing w:before="240" w:after="120"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Le prix forfaitaire de chaque poste correspond au montant qu’</w:t>
      </w:r>
      <w:r w:rsidRPr="006271C4">
        <w:rPr>
          <w:rFonts w:asciiTheme="minorHAnsi" w:eastAsia="Times New Roman" w:hAnsiTheme="minorHAnsi" w:cstheme="minorHAnsi"/>
          <w:smallCaps/>
          <w:sz w:val="22"/>
          <w:szCs w:val="22"/>
        </w:rPr>
        <w:t xml:space="preserve">Expertise France </w:t>
      </w:r>
      <w:r w:rsidRPr="006271C4">
        <w:rPr>
          <w:rFonts w:asciiTheme="minorHAnsi" w:eastAsia="Times New Roman" w:hAnsiTheme="minorHAnsi" w:cstheme="minorHAnsi"/>
          <w:sz w:val="22"/>
          <w:szCs w:val="22"/>
        </w:rPr>
        <w:t>s’engage à payer après validation sans réserve de l’ensemble des prestations attendues. Le prix étant forfaitaire, il inclut l’ensemble des frais liés à l’exécution des prestations correspondantes.</w:t>
      </w:r>
    </w:p>
    <w:p w14:paraId="30A254B0" w14:textId="77777777" w:rsidR="006271C4" w:rsidRPr="006271C4" w:rsidRDefault="006271C4" w:rsidP="006271C4"/>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6B1AA028" w:rsidR="000A6D39"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777F12F7" w14:textId="2FDA85C4" w:rsidR="006271C4" w:rsidRDefault="006271C4" w:rsidP="00D830F2">
      <w:pPr>
        <w:pStyle w:val="u"/>
        <w:widowControl w:val="0"/>
        <w:numPr>
          <w:ilvl w:val="12"/>
          <w:numId w:val="0"/>
        </w:numPr>
        <w:spacing w:after="120"/>
        <w:ind w:left="561"/>
        <w:jc w:val="left"/>
        <w:rPr>
          <w:rFonts w:asciiTheme="minorHAnsi" w:hAnsiTheme="minorHAnsi" w:cstheme="minorHAnsi"/>
          <w:szCs w:val="22"/>
        </w:rPr>
      </w:pPr>
    </w:p>
    <w:p w14:paraId="6D4A8804" w14:textId="77777777" w:rsidR="006271C4" w:rsidRPr="00A86E43" w:rsidRDefault="006271C4" w:rsidP="00D830F2">
      <w:pPr>
        <w:pStyle w:val="u"/>
        <w:widowControl w:val="0"/>
        <w:numPr>
          <w:ilvl w:val="12"/>
          <w:numId w:val="0"/>
        </w:numPr>
        <w:spacing w:after="120"/>
        <w:ind w:left="561"/>
        <w:jc w:val="left"/>
        <w:rPr>
          <w:rFonts w:asciiTheme="minorHAnsi" w:hAnsiTheme="minorHAnsi" w:cstheme="minorHAnsi"/>
          <w:szCs w:val="22"/>
        </w:rPr>
      </w:pP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lastRenderedPageBreak/>
        <w:t>Avance</w:t>
      </w:r>
      <w:bookmarkEnd w:id="20"/>
    </w:p>
    <w:p w14:paraId="33717C29" w14:textId="51B96EB9" w:rsidR="006271C4" w:rsidRDefault="006271C4" w:rsidP="002712EA">
      <w:pPr>
        <w:pStyle w:val="Titre2"/>
        <w:spacing w:before="120" w:after="60"/>
        <w:rPr>
          <w:rFonts w:asciiTheme="minorHAnsi" w:eastAsia="Times New Roman" w:hAnsiTheme="minorHAnsi" w:cstheme="minorHAnsi"/>
          <w:b w:val="0"/>
          <w:bCs w:val="0"/>
          <w:sz w:val="22"/>
          <w:szCs w:val="22"/>
        </w:rPr>
      </w:pPr>
      <w:bookmarkStart w:id="21" w:name="_Toc126921981"/>
      <w:r w:rsidRPr="006271C4">
        <w:rPr>
          <w:rFonts w:asciiTheme="minorHAnsi" w:eastAsia="Times New Roman" w:hAnsiTheme="minorHAnsi" w:cstheme="minorHAnsi"/>
          <w:b w:val="0"/>
          <w:bCs w:val="0"/>
          <w:sz w:val="22"/>
          <w:szCs w:val="22"/>
        </w:rPr>
        <w:tab/>
      </w:r>
      <w:r w:rsidR="00C85784">
        <w:rPr>
          <w:rFonts w:asciiTheme="minorHAnsi" w:eastAsia="Times New Roman" w:hAnsiTheme="minorHAnsi" w:cstheme="minorHAnsi"/>
          <w:b w:val="0"/>
          <w:bCs w:val="0"/>
          <w:sz w:val="22"/>
          <w:szCs w:val="22"/>
        </w:rPr>
        <w:t xml:space="preserve">Une avance de </w:t>
      </w:r>
      <w:r w:rsidR="00C85784" w:rsidRPr="006765B9">
        <w:rPr>
          <w:rFonts w:asciiTheme="minorHAnsi" w:eastAsia="Times New Roman" w:hAnsiTheme="minorHAnsi" w:cstheme="minorHAnsi"/>
          <w:b w:val="0"/>
          <w:bCs w:val="0"/>
          <w:sz w:val="22"/>
          <w:szCs w:val="22"/>
        </w:rPr>
        <w:t>5%</w:t>
      </w:r>
      <w:r w:rsidR="00C85784" w:rsidRPr="006765B9">
        <w:rPr>
          <w:rFonts w:asciiTheme="minorHAnsi" w:eastAsia="Times New Roman" w:hAnsiTheme="minorHAnsi" w:cstheme="minorHAnsi"/>
          <w:bCs w:val="0"/>
          <w:sz w:val="22"/>
          <w:szCs w:val="22"/>
        </w:rPr>
        <w:t xml:space="preserve"> </w:t>
      </w:r>
      <w:r w:rsidR="00C85784">
        <w:rPr>
          <w:rFonts w:asciiTheme="minorHAnsi" w:eastAsia="Times New Roman" w:hAnsiTheme="minorHAnsi" w:cstheme="minorHAnsi"/>
          <w:b w:val="0"/>
          <w:bCs w:val="0"/>
          <w:sz w:val="22"/>
          <w:szCs w:val="22"/>
        </w:rPr>
        <w:t>du montant total du contrat sera accordée au moment de la notification du contrat.</w:t>
      </w:r>
    </w:p>
    <w:p w14:paraId="0646EE39" w14:textId="1FD46D4A" w:rsidR="002712EA" w:rsidRPr="00A86E43" w:rsidRDefault="002712EA" w:rsidP="002712EA">
      <w:pPr>
        <w:pStyle w:val="Titre2"/>
        <w:spacing w:before="120" w:after="60"/>
        <w:rPr>
          <w:rFonts w:asciiTheme="minorHAnsi" w:hAnsiTheme="minorHAnsi"/>
          <w:sz w:val="22"/>
        </w:rPr>
      </w:pPr>
      <w:r w:rsidRPr="00A86E43">
        <w:rPr>
          <w:rFonts w:asciiTheme="minorHAnsi" w:hAnsiTheme="minorHAnsi"/>
          <w:sz w:val="22"/>
        </w:rPr>
        <w:t>Modalités de paiement</w:t>
      </w:r>
      <w:bookmarkEnd w:id="21"/>
    </w:p>
    <w:p w14:paraId="6A2DA352" w14:textId="0B3D7677"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4FF668BB" w14:textId="1D924B85" w:rsidR="006271C4" w:rsidRDefault="006271C4" w:rsidP="006271C4">
      <w:pPr>
        <w:pStyle w:val="u"/>
        <w:widowControl w:val="0"/>
        <w:rPr>
          <w:rFonts w:asciiTheme="minorHAnsi" w:hAnsiTheme="minorHAnsi" w:cs="Arial"/>
          <w:b/>
        </w:rPr>
      </w:pPr>
    </w:p>
    <w:p w14:paraId="12527AB5" w14:textId="67DCE73A" w:rsidR="006271C4" w:rsidRPr="006271C4" w:rsidRDefault="006271C4" w:rsidP="006271C4">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Arial"/>
          <w:sz w:val="22"/>
          <w:szCs w:val="22"/>
        </w:rPr>
      </w:pPr>
      <w:r w:rsidRPr="006271C4">
        <w:rPr>
          <w:rFonts w:asciiTheme="minorHAnsi" w:eastAsia="Times New Roman" w:hAnsiTheme="minorHAnsi" w:cs="Arial"/>
          <w:sz w:val="22"/>
          <w:szCs w:val="22"/>
        </w:rPr>
        <w:t xml:space="preserve">L’exécution des prestations objet du contrat ouvre droit au versement d’acompte conformément à l’échéancier suivant : </w:t>
      </w:r>
      <w:r w:rsidRPr="006271C4">
        <w:rPr>
          <w:rFonts w:asciiTheme="minorHAnsi" w:eastAsia="Times New Roman" w:hAnsiTheme="minorHAnsi" w:cs="Arial"/>
          <w:sz w:val="22"/>
          <w:szCs w:val="22"/>
          <w:highlight w:val="yellow"/>
        </w:rPr>
        <w:t xml:space="preserve">A </w:t>
      </w:r>
      <w:r w:rsidRPr="00044305">
        <w:rPr>
          <w:rFonts w:asciiTheme="minorHAnsi" w:eastAsia="Times New Roman" w:hAnsiTheme="minorHAnsi" w:cs="Arial"/>
          <w:sz w:val="22"/>
          <w:szCs w:val="22"/>
          <w:highlight w:val="yellow"/>
        </w:rPr>
        <w:t>COMPLETER</w:t>
      </w:r>
      <w:r w:rsidR="00044305" w:rsidRPr="00044305">
        <w:rPr>
          <w:rFonts w:asciiTheme="minorHAnsi" w:eastAsia="Times New Roman" w:hAnsiTheme="minorHAnsi" w:cs="Arial"/>
          <w:sz w:val="22"/>
          <w:szCs w:val="22"/>
          <w:highlight w:val="yellow"/>
        </w:rPr>
        <w:t xml:space="preserve"> PAR LE CONTRACTANT</w:t>
      </w:r>
    </w:p>
    <w:tbl>
      <w:tblPr>
        <w:tblStyle w:val="Grilledutableau1"/>
        <w:tblW w:w="0" w:type="auto"/>
        <w:tblInd w:w="561" w:type="dxa"/>
        <w:tblLook w:val="04A0" w:firstRow="1" w:lastRow="0" w:firstColumn="1" w:lastColumn="0" w:noHBand="0" w:noVBand="1"/>
      </w:tblPr>
      <w:tblGrid>
        <w:gridCol w:w="1488"/>
        <w:gridCol w:w="1582"/>
        <w:gridCol w:w="1606"/>
        <w:gridCol w:w="1718"/>
        <w:gridCol w:w="1523"/>
        <w:gridCol w:w="1258"/>
      </w:tblGrid>
      <w:tr w:rsidR="006271C4" w:rsidRPr="006271C4" w14:paraId="15E65A9A" w14:textId="77777777" w:rsidTr="007318F5">
        <w:tc>
          <w:tcPr>
            <w:tcW w:w="1501" w:type="dxa"/>
            <w:vAlign w:val="center"/>
          </w:tcPr>
          <w:p w14:paraId="013A38DD"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N° de poste</w:t>
            </w:r>
          </w:p>
        </w:tc>
        <w:tc>
          <w:tcPr>
            <w:tcW w:w="1593" w:type="dxa"/>
            <w:vAlign w:val="center"/>
          </w:tcPr>
          <w:p w14:paraId="31A43839"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Titre du livrable</w:t>
            </w:r>
          </w:p>
        </w:tc>
        <w:tc>
          <w:tcPr>
            <w:tcW w:w="1560" w:type="dxa"/>
            <w:vAlign w:val="center"/>
          </w:tcPr>
          <w:p w14:paraId="040DB68F" w14:textId="6E101622"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Date de remise</w:t>
            </w:r>
            <w:r w:rsidR="007D7E63">
              <w:rPr>
                <w:rFonts w:asciiTheme="minorHAnsi" w:eastAsia="Times New Roman" w:hAnsiTheme="minorHAnsi" w:cs="Arial"/>
                <w:b/>
                <w:sz w:val="22"/>
                <w:szCs w:val="22"/>
                <w:highlight w:val="yellow"/>
              </w:rPr>
              <w:t xml:space="preserve"> (JJ/MM/AAAA)</w:t>
            </w:r>
          </w:p>
        </w:tc>
        <w:tc>
          <w:tcPr>
            <w:tcW w:w="1727" w:type="dxa"/>
            <w:vAlign w:val="center"/>
          </w:tcPr>
          <w:p w14:paraId="1D212E62"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Prix forfaitaire honoraire HT</w:t>
            </w:r>
          </w:p>
        </w:tc>
        <w:tc>
          <w:tcPr>
            <w:tcW w:w="1529" w:type="dxa"/>
          </w:tcPr>
          <w:p w14:paraId="1CFD17B2"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Prix forfaitaire logistique HT</w:t>
            </w:r>
          </w:p>
        </w:tc>
        <w:tc>
          <w:tcPr>
            <w:tcW w:w="1265" w:type="dxa"/>
          </w:tcPr>
          <w:p w14:paraId="3482B855"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TOTAL</w:t>
            </w:r>
          </w:p>
        </w:tc>
      </w:tr>
      <w:tr w:rsidR="006271C4" w:rsidRPr="006271C4" w14:paraId="0DA8023A" w14:textId="77777777" w:rsidTr="007318F5">
        <w:tc>
          <w:tcPr>
            <w:tcW w:w="1501" w:type="dxa"/>
          </w:tcPr>
          <w:p w14:paraId="412E8D3D"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31ED43B3"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764B06C9"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3750484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1DF19DF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5946D6B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5FF2DB4F" w14:textId="77777777" w:rsidTr="007318F5">
        <w:tc>
          <w:tcPr>
            <w:tcW w:w="1501" w:type="dxa"/>
          </w:tcPr>
          <w:p w14:paraId="016A131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5D6AE651"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69129B8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09E550C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3D58A7C1"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0D28593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6E174E36" w14:textId="77777777" w:rsidTr="007318F5">
        <w:tc>
          <w:tcPr>
            <w:tcW w:w="1501" w:type="dxa"/>
          </w:tcPr>
          <w:p w14:paraId="02D4411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23D2C01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672001E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51F6F48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0A10D769"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4324993B"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7E0624FE" w14:textId="77777777" w:rsidTr="007318F5">
        <w:tc>
          <w:tcPr>
            <w:tcW w:w="1501" w:type="dxa"/>
          </w:tcPr>
          <w:p w14:paraId="0F206F65"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sidRPr="006271C4">
              <w:rPr>
                <w:rFonts w:asciiTheme="minorHAnsi" w:eastAsia="Times New Roman" w:hAnsiTheme="minorHAnsi" w:cs="Arial"/>
                <w:sz w:val="22"/>
                <w:szCs w:val="22"/>
              </w:rPr>
              <w:t>…</w:t>
            </w:r>
          </w:p>
        </w:tc>
        <w:tc>
          <w:tcPr>
            <w:tcW w:w="1593" w:type="dxa"/>
          </w:tcPr>
          <w:p w14:paraId="6A5E403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3CD3807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18F404F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646F1FE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16275575"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bl>
    <w:p w14:paraId="4CC62D0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p w14:paraId="69B9DF52"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6271C4">
        <w:rPr>
          <w:rFonts w:ascii="Calibri" w:eastAsia="Times New Roman" w:hAnsi="Calibri" w:cs="Arial"/>
          <w:sz w:val="22"/>
          <w:szCs w:val="22"/>
        </w:rPr>
        <w:t xml:space="preserve">Le versement d’acompte ne constitue pas preuve de réception, même partielle, et ne libère pas le </w:t>
      </w:r>
      <w:r w:rsidRPr="006271C4">
        <w:rPr>
          <w:rFonts w:ascii="Calibri" w:eastAsia="Times New Roman" w:hAnsi="Calibri" w:cs="Arial"/>
          <w:smallCaps/>
          <w:sz w:val="22"/>
          <w:szCs w:val="22"/>
        </w:rPr>
        <w:t>Contractant</w:t>
      </w:r>
      <w:r w:rsidRPr="006271C4">
        <w:rPr>
          <w:rFonts w:ascii="Calibri" w:eastAsia="Times New Roman" w:hAnsi="Calibri" w:cs="Arial"/>
          <w:sz w:val="22"/>
          <w:szCs w:val="22"/>
        </w:rPr>
        <w:t xml:space="preserve"> de ses obligations au titre du Contrat et du poste considéré.</w:t>
      </w:r>
    </w:p>
    <w:p w14:paraId="1AB94A12"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6271C4">
        <w:rPr>
          <w:rFonts w:ascii="Calibri" w:eastAsia="Times New Roman" w:hAnsi="Calibri" w:cs="Arial"/>
          <w:sz w:val="22"/>
          <w:szCs w:val="22"/>
        </w:rPr>
        <w:t>Les acomptes sont versés au fur et à mesure de l’exécution du contrat, à la réception du livrable, et après admission des prestations.</w:t>
      </w:r>
    </w:p>
    <w:p w14:paraId="515B62FD"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6271C4">
        <w:rPr>
          <w:rFonts w:ascii="Calibri" w:eastAsia="Times New Roman" w:hAnsi="Calibri" w:cs="Arial"/>
          <w:sz w:val="22"/>
          <w:szCs w:val="22"/>
        </w:rPr>
        <w:t xml:space="preserve">Le paiement du </w:t>
      </w:r>
      <w:r w:rsidRPr="006271C4">
        <w:rPr>
          <w:rFonts w:ascii="Calibri" w:eastAsia="Times New Roman" w:hAnsi="Calibri" w:cs="Arial"/>
          <w:smallCaps/>
          <w:sz w:val="22"/>
          <w:szCs w:val="22"/>
        </w:rPr>
        <w:t>Contractant</w:t>
      </w:r>
      <w:r w:rsidRPr="006271C4">
        <w:rPr>
          <w:rFonts w:ascii="Calibri" w:eastAsia="Times New Roman" w:hAnsi="Calibri" w:cs="Arial"/>
          <w:sz w:val="22"/>
          <w:szCs w:val="22"/>
        </w:rPr>
        <w:t xml:space="preserve"> sera réalisé sur présentation d’une facture détaillant les prestations réalisées, les livrables attendus et des pièces justificatives correspondantes.</w:t>
      </w:r>
    </w:p>
    <w:p w14:paraId="1067EEBB" w14:textId="77777777" w:rsidR="006271C4" w:rsidRPr="00A86E43" w:rsidRDefault="006271C4" w:rsidP="006271C4">
      <w:pPr>
        <w:pStyle w:val="u"/>
        <w:widowControl w:val="0"/>
        <w:rPr>
          <w:rFonts w:asciiTheme="minorHAnsi" w:hAnsiTheme="minorHAnsi" w:cs="Arial"/>
          <w:b/>
        </w:rPr>
      </w:pPr>
    </w:p>
    <w:p w14:paraId="2C904E7F" w14:textId="77777777" w:rsidR="0089576F" w:rsidRDefault="0089576F">
      <w:pPr>
        <w:spacing w:line="240" w:lineRule="auto"/>
        <w:rPr>
          <w:rFonts w:asciiTheme="minorHAnsi" w:eastAsia="Times New Roman" w:hAnsiTheme="minorHAnsi" w:cs="Arial"/>
          <w:sz w:val="22"/>
          <w:szCs w:val="22"/>
        </w:rPr>
      </w:pPr>
      <w:r>
        <w:rPr>
          <w:rFonts w:asciiTheme="minorHAnsi" w:hAnsiTheme="minorHAnsi" w:cs="Arial"/>
          <w:szCs w:val="22"/>
        </w:rPr>
        <w:br w:type="page"/>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3A3324EF"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3F226407"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bookmarkStart w:id="33" w:name="_Toc390691470"/>
      <w:bookmarkStart w:id="34" w:name="_Toc392669641"/>
      <w:bookmarkStart w:id="35" w:name="_Toc126921989"/>
      <w:r w:rsidRPr="006271C4">
        <w:rPr>
          <w:rFonts w:asciiTheme="minorHAnsi" w:eastAsia="Times New Roman" w:hAnsiTheme="minorHAnsi" w:cstheme="minorHAnsi"/>
          <w:sz w:val="22"/>
          <w:szCs w:val="22"/>
        </w:rPr>
        <w:t>La cheffe de projet : Aline Jaeglé</w:t>
      </w:r>
    </w:p>
    <w:p w14:paraId="2564422D"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La responsable de pôle : Seliatou Kayode-Anglade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0F5389DB"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La cheffe de projet : Aline Jaeglé</w:t>
      </w:r>
    </w:p>
    <w:p w14:paraId="12DC46F7"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La responsable de pôle : Seliatou Kayode-Anglade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67B3DF42" w:rsidR="000A6914"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p w14:paraId="4B0397E6" w14:textId="743F6AEE" w:rsidR="008561C4" w:rsidRDefault="008561C4" w:rsidP="008561C4"/>
    <w:tbl>
      <w:tblPr>
        <w:tblW w:w="9918" w:type="dxa"/>
        <w:tblLayout w:type="fixed"/>
        <w:tblLook w:val="0000" w:firstRow="0" w:lastRow="0" w:firstColumn="0" w:lastColumn="0" w:noHBand="0" w:noVBand="0"/>
      </w:tblPr>
      <w:tblGrid>
        <w:gridCol w:w="2263"/>
        <w:gridCol w:w="6096"/>
        <w:gridCol w:w="1559"/>
      </w:tblGrid>
      <w:tr w:rsidR="008561C4" w:rsidRPr="008561C4" w14:paraId="53CAB6FD" w14:textId="77777777" w:rsidTr="00F91116">
        <w:trPr>
          <w:trHeight w:val="295"/>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1737C47" w14:textId="77777777" w:rsidR="008561C4" w:rsidRPr="008561C4" w:rsidRDefault="008561C4" w:rsidP="008561C4">
            <w:pPr>
              <w:rPr>
                <w:b/>
                <w:lang w:val="fr"/>
              </w:rPr>
            </w:pPr>
            <w:r w:rsidRPr="008561C4">
              <w:rPr>
                <w:b/>
                <w:lang w:val="fr"/>
              </w:rPr>
              <w:t>Phase</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673A25C" w14:textId="77777777" w:rsidR="008561C4" w:rsidRPr="008561C4" w:rsidRDefault="008561C4" w:rsidP="008561C4">
            <w:pPr>
              <w:rPr>
                <w:b/>
                <w:lang w:val="fr"/>
              </w:rPr>
            </w:pPr>
            <w:r w:rsidRPr="008561C4">
              <w:rPr>
                <w:b/>
                <w:lang w:val="fr"/>
              </w:rPr>
              <w:t>Livrables attendus</w:t>
            </w:r>
          </w:p>
        </w:tc>
        <w:tc>
          <w:tcPr>
            <w:tcW w:w="1559" w:type="dxa"/>
            <w:tcBorders>
              <w:top w:val="single" w:sz="4" w:space="0" w:color="BFBFBF"/>
              <w:left w:val="single" w:sz="4" w:space="0" w:color="BFBFBF"/>
              <w:bottom w:val="single" w:sz="4" w:space="0" w:color="BFBFBF"/>
              <w:right w:val="single" w:sz="4" w:space="0" w:color="BFBFBF"/>
            </w:tcBorders>
          </w:tcPr>
          <w:p w14:paraId="3D2872D9" w14:textId="77777777" w:rsidR="008561C4" w:rsidRPr="008561C4" w:rsidRDefault="008561C4" w:rsidP="008561C4">
            <w:pPr>
              <w:rPr>
                <w:b/>
                <w:lang w:val="fr"/>
              </w:rPr>
            </w:pPr>
            <w:r w:rsidRPr="008561C4">
              <w:rPr>
                <w:b/>
                <w:lang w:val="fr"/>
              </w:rPr>
              <w:t>Période</w:t>
            </w:r>
          </w:p>
        </w:tc>
      </w:tr>
      <w:tr w:rsidR="008561C4" w:rsidRPr="008561C4" w14:paraId="2E185E52" w14:textId="77777777" w:rsidTr="00F91116">
        <w:trPr>
          <w:trHeight w:val="295"/>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2DADEAE" w14:textId="77777777" w:rsidR="008561C4" w:rsidRPr="008561C4" w:rsidRDefault="008561C4" w:rsidP="008561C4">
            <w:pPr>
              <w:rPr>
                <w:lang w:val="fr"/>
              </w:rPr>
            </w:pPr>
            <w:r w:rsidRPr="008561C4">
              <w:rPr>
                <w:lang w:val="fr"/>
              </w:rPr>
              <w:t>Lancement/Cadrage</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19D79B9" w14:textId="77777777" w:rsidR="008561C4" w:rsidRPr="008561C4" w:rsidRDefault="008561C4" w:rsidP="008561C4">
            <w:pPr>
              <w:rPr>
                <w:lang w:val="fr"/>
              </w:rPr>
            </w:pPr>
            <w:r w:rsidRPr="008561C4">
              <w:rPr>
                <w:lang w:val="fr"/>
              </w:rPr>
              <w:t>Visio de lancement, rapport de démarrage et livrable de présentation</w:t>
            </w:r>
          </w:p>
          <w:p w14:paraId="5153971B" w14:textId="77777777" w:rsidR="008561C4" w:rsidRPr="008561C4" w:rsidRDefault="008561C4" w:rsidP="008561C4">
            <w:pPr>
              <w:rPr>
                <w:b/>
                <w:lang w:val="fr"/>
              </w:rPr>
            </w:pPr>
          </w:p>
        </w:tc>
        <w:tc>
          <w:tcPr>
            <w:tcW w:w="1559" w:type="dxa"/>
            <w:tcBorders>
              <w:top w:val="single" w:sz="4" w:space="0" w:color="BFBFBF"/>
              <w:left w:val="single" w:sz="4" w:space="0" w:color="BFBFBF"/>
              <w:bottom w:val="single" w:sz="4" w:space="0" w:color="BFBFBF"/>
              <w:right w:val="single" w:sz="4" w:space="0" w:color="BFBFBF"/>
            </w:tcBorders>
          </w:tcPr>
          <w:p w14:paraId="0ED8CC0A" w14:textId="18BA28F3" w:rsidR="008561C4" w:rsidRPr="008561C4" w:rsidRDefault="008561C4" w:rsidP="008561C4">
            <w:pPr>
              <w:rPr>
                <w:lang w:val="fr"/>
              </w:rPr>
            </w:pPr>
            <w:r w:rsidRPr="008561C4">
              <w:rPr>
                <w:lang w:val="fr"/>
              </w:rPr>
              <w:t>M+15</w:t>
            </w:r>
            <w:r w:rsidR="0052412F">
              <w:rPr>
                <w:lang w:val="fr"/>
              </w:rPr>
              <w:t>jours</w:t>
            </w:r>
          </w:p>
        </w:tc>
      </w:tr>
      <w:tr w:rsidR="008561C4" w:rsidRPr="008561C4" w14:paraId="2B1B355D" w14:textId="77777777" w:rsidTr="00F91116">
        <w:trPr>
          <w:trHeight w:val="591"/>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7E73C96" w14:textId="77777777" w:rsidR="008561C4" w:rsidRPr="008561C4" w:rsidRDefault="008561C4" w:rsidP="008561C4">
            <w:pPr>
              <w:rPr>
                <w:lang w:val="fr"/>
              </w:rPr>
            </w:pPr>
            <w:r w:rsidRPr="008561C4">
              <w:rPr>
                <w:lang w:val="fr"/>
              </w:rPr>
              <w:t>Phase I – Stratégie de distribution et relation diaspora</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D0C4DA9" w14:textId="77777777" w:rsidR="008561C4" w:rsidRPr="008561C4" w:rsidRDefault="008561C4" w:rsidP="008561C4">
            <w:pPr>
              <w:numPr>
                <w:ilvl w:val="0"/>
                <w:numId w:val="70"/>
              </w:numPr>
              <w:rPr>
                <w:lang w:val="fr"/>
              </w:rPr>
            </w:pPr>
            <w:r w:rsidRPr="008561C4">
              <w:rPr>
                <w:lang w:val="fr"/>
              </w:rPr>
              <w:t>Accords de partenariat avec les réseaux de distribution, accompagnés d’une charte de collaboration standardisée.</w:t>
            </w:r>
          </w:p>
          <w:p w14:paraId="5C0C404F" w14:textId="77777777" w:rsidR="008561C4" w:rsidRPr="008561C4" w:rsidRDefault="008561C4" w:rsidP="008561C4">
            <w:pPr>
              <w:numPr>
                <w:ilvl w:val="0"/>
                <w:numId w:val="70"/>
              </w:numPr>
              <w:rPr>
                <w:lang w:val="fr"/>
              </w:rPr>
            </w:pPr>
            <w:r w:rsidRPr="008561C4">
              <w:rPr>
                <w:lang w:val="fr"/>
              </w:rPr>
              <w:t>Charte de co-branding, avec lignes graphiques, formats et règles d’usage.</w:t>
            </w:r>
          </w:p>
          <w:p w14:paraId="5D0BF089" w14:textId="77777777" w:rsidR="008561C4" w:rsidRPr="008561C4" w:rsidRDefault="008561C4" w:rsidP="008561C4">
            <w:pPr>
              <w:numPr>
                <w:ilvl w:val="0"/>
                <w:numId w:val="70"/>
              </w:numPr>
              <w:rPr>
                <w:lang w:val="fr"/>
              </w:rPr>
            </w:pPr>
            <w:r w:rsidRPr="008561C4">
              <w:rPr>
                <w:lang w:val="fr"/>
              </w:rPr>
              <w:t>Parcours client diaspora modélisé, documenté sous forme de diagramme de flux UX et narratif.</w:t>
            </w:r>
          </w:p>
          <w:p w14:paraId="2E17AFCE" w14:textId="77777777" w:rsidR="008561C4" w:rsidRPr="008561C4" w:rsidRDefault="008561C4" w:rsidP="008561C4">
            <w:pPr>
              <w:numPr>
                <w:ilvl w:val="0"/>
                <w:numId w:val="70"/>
              </w:numPr>
              <w:rPr>
                <w:lang w:val="fr"/>
              </w:rPr>
            </w:pPr>
            <w:r w:rsidRPr="008561C4">
              <w:rPr>
                <w:lang w:val="fr"/>
              </w:rPr>
              <w:t xml:space="preserve">Plan de communication diaspora, incluant les objectifs de communication, messages stratégiques, canaux et </w:t>
            </w:r>
            <w:r w:rsidRPr="008561C4">
              <w:rPr>
                <w:lang w:val="fr"/>
              </w:rPr>
              <w:lastRenderedPageBreak/>
              <w:t>supports, influenceurs, calendrier d’action, et indicateurs de performance (KPI).</w:t>
            </w:r>
          </w:p>
          <w:p w14:paraId="5DC04B39" w14:textId="77777777" w:rsidR="008561C4" w:rsidRPr="008561C4" w:rsidRDefault="008561C4" w:rsidP="008561C4">
            <w:pPr>
              <w:numPr>
                <w:ilvl w:val="0"/>
                <w:numId w:val="71"/>
              </w:numPr>
              <w:rPr>
                <w:lang w:val="fr"/>
              </w:rPr>
            </w:pPr>
            <w:r w:rsidRPr="008561C4">
              <w:rPr>
                <w:lang w:val="fr"/>
              </w:rPr>
              <w:t>Outils de pilotage de la relation diaspora, incluant modèles de reporting, tableaux de bord de performance, fiches action de campagne.</w:t>
            </w:r>
          </w:p>
        </w:tc>
        <w:tc>
          <w:tcPr>
            <w:tcW w:w="1559" w:type="dxa"/>
            <w:tcBorders>
              <w:top w:val="single" w:sz="4" w:space="0" w:color="BFBFBF"/>
              <w:left w:val="single" w:sz="4" w:space="0" w:color="BFBFBF"/>
              <w:bottom w:val="single" w:sz="4" w:space="0" w:color="BFBFBF"/>
              <w:right w:val="single" w:sz="4" w:space="0" w:color="BFBFBF"/>
            </w:tcBorders>
          </w:tcPr>
          <w:p w14:paraId="3512BE4C" w14:textId="774EFC55" w:rsidR="008561C4" w:rsidRPr="008561C4" w:rsidRDefault="008561C4" w:rsidP="008561C4">
            <w:pPr>
              <w:rPr>
                <w:lang w:val="fr"/>
              </w:rPr>
            </w:pPr>
            <w:r w:rsidRPr="008561C4">
              <w:rPr>
                <w:lang w:val="fr"/>
              </w:rPr>
              <w:lastRenderedPageBreak/>
              <w:t>M+2</w:t>
            </w:r>
            <w:r w:rsidR="0052412F">
              <w:rPr>
                <w:lang w:val="fr"/>
              </w:rPr>
              <w:t>mois</w:t>
            </w:r>
          </w:p>
        </w:tc>
      </w:tr>
      <w:tr w:rsidR="008561C4" w:rsidRPr="008561C4" w14:paraId="06DB75C3" w14:textId="77777777" w:rsidTr="00F91116">
        <w:trPr>
          <w:trHeight w:val="591"/>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DDAFCC3" w14:textId="77777777" w:rsidR="008561C4" w:rsidRPr="008561C4" w:rsidRDefault="008561C4" w:rsidP="008561C4">
            <w:pPr>
              <w:rPr>
                <w:lang w:val="fr"/>
              </w:rPr>
            </w:pPr>
            <w:r w:rsidRPr="008561C4">
              <w:rPr>
                <w:lang w:val="fr"/>
              </w:rPr>
              <w:t>Phase II - Mise en place d’un système ALM et d’une doctrine d’investissement</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51FA5B8" w14:textId="77777777" w:rsidR="008561C4" w:rsidRPr="008561C4" w:rsidRDefault="008561C4" w:rsidP="008561C4">
            <w:pPr>
              <w:numPr>
                <w:ilvl w:val="0"/>
                <w:numId w:val="69"/>
              </w:numPr>
              <w:rPr>
                <w:lang w:val="fr"/>
              </w:rPr>
            </w:pPr>
            <w:r w:rsidRPr="008561C4">
              <w:rPr>
                <w:lang w:val="fr"/>
              </w:rPr>
              <w:t>Modèle ALM opérationnel (Excel ou outil de gestion), avec documentation méthodologique ;</w:t>
            </w:r>
          </w:p>
          <w:p w14:paraId="0A257EBB" w14:textId="77777777" w:rsidR="008561C4" w:rsidRPr="008561C4" w:rsidRDefault="008561C4" w:rsidP="008561C4">
            <w:pPr>
              <w:numPr>
                <w:ilvl w:val="0"/>
                <w:numId w:val="69"/>
              </w:numPr>
              <w:rPr>
                <w:lang w:val="fr"/>
              </w:rPr>
            </w:pPr>
            <w:r w:rsidRPr="008561C4">
              <w:rPr>
                <w:lang w:val="fr"/>
              </w:rPr>
              <w:t>Tableau de bord dynamique de suivi des flux avec alertes et indicateurs intégrés ;</w:t>
            </w:r>
          </w:p>
          <w:p w14:paraId="5B7B7B36" w14:textId="77777777" w:rsidR="008561C4" w:rsidRPr="008561C4" w:rsidRDefault="008561C4" w:rsidP="008561C4">
            <w:pPr>
              <w:numPr>
                <w:ilvl w:val="0"/>
                <w:numId w:val="69"/>
              </w:numPr>
              <w:rPr>
                <w:lang w:val="fr"/>
              </w:rPr>
            </w:pPr>
            <w:r w:rsidRPr="008561C4">
              <w:rPr>
                <w:lang w:val="fr"/>
              </w:rPr>
              <w:t>Fiche technique des indicateurs financiers (définitions, calculs, usages) ;</w:t>
            </w:r>
          </w:p>
          <w:p w14:paraId="2B32B80F" w14:textId="77777777" w:rsidR="008561C4" w:rsidRPr="008561C4" w:rsidRDefault="008561C4" w:rsidP="008561C4">
            <w:pPr>
              <w:numPr>
                <w:ilvl w:val="0"/>
                <w:numId w:val="69"/>
              </w:numPr>
              <w:rPr>
                <w:lang w:val="fr"/>
              </w:rPr>
            </w:pPr>
            <w:r w:rsidRPr="008561C4">
              <w:rPr>
                <w:lang w:val="fr"/>
              </w:rPr>
              <w:t>Document de doctrine d’investissement structuré (principes, objectifs, exclusions, suivi…etc.) ;</w:t>
            </w:r>
          </w:p>
          <w:p w14:paraId="53CBF170" w14:textId="77777777" w:rsidR="008561C4" w:rsidRPr="008561C4" w:rsidRDefault="008561C4" w:rsidP="008561C4">
            <w:pPr>
              <w:numPr>
                <w:ilvl w:val="0"/>
                <w:numId w:val="69"/>
              </w:numPr>
              <w:rPr>
                <w:lang w:val="fr"/>
              </w:rPr>
            </w:pPr>
            <w:r w:rsidRPr="008561C4">
              <w:rPr>
                <w:lang w:val="fr"/>
              </w:rPr>
              <w:t>Support de présentation et synthèse pour approbation de la Direction Générale de la CDEC.</w:t>
            </w:r>
          </w:p>
        </w:tc>
        <w:tc>
          <w:tcPr>
            <w:tcW w:w="1559" w:type="dxa"/>
            <w:tcBorders>
              <w:top w:val="single" w:sz="4" w:space="0" w:color="BFBFBF"/>
              <w:left w:val="single" w:sz="4" w:space="0" w:color="BFBFBF"/>
              <w:bottom w:val="single" w:sz="4" w:space="0" w:color="BFBFBF"/>
              <w:right w:val="single" w:sz="4" w:space="0" w:color="BFBFBF"/>
            </w:tcBorders>
          </w:tcPr>
          <w:p w14:paraId="51FA354C" w14:textId="0F0AA0B2" w:rsidR="008561C4" w:rsidRPr="008561C4" w:rsidRDefault="008561C4" w:rsidP="008561C4">
            <w:pPr>
              <w:rPr>
                <w:lang w:val="fr"/>
              </w:rPr>
            </w:pPr>
            <w:r w:rsidRPr="008561C4">
              <w:rPr>
                <w:lang w:val="fr"/>
              </w:rPr>
              <w:t>M+4</w:t>
            </w:r>
            <w:r w:rsidR="0052412F">
              <w:rPr>
                <w:lang w:val="fr"/>
              </w:rPr>
              <w:t>mois</w:t>
            </w:r>
          </w:p>
        </w:tc>
      </w:tr>
      <w:tr w:rsidR="008561C4" w:rsidRPr="008561C4" w14:paraId="586538C8" w14:textId="77777777" w:rsidTr="00F91116">
        <w:trPr>
          <w:trHeight w:val="591"/>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C416274" w14:textId="2F7C6E9F" w:rsidR="008561C4" w:rsidRPr="008561C4" w:rsidRDefault="008561C4" w:rsidP="008561C4">
            <w:pPr>
              <w:rPr>
                <w:lang w:val="fr"/>
              </w:rPr>
            </w:pPr>
            <w:r>
              <w:rPr>
                <w:lang w:val="fr"/>
              </w:rPr>
              <w:t>Le rapport final</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36AC0D9" w14:textId="77777777" w:rsidR="008561C4" w:rsidRPr="008561C4" w:rsidRDefault="008561C4" w:rsidP="008561C4">
            <w:pPr>
              <w:numPr>
                <w:ilvl w:val="0"/>
                <w:numId w:val="71"/>
              </w:numPr>
              <w:rPr>
                <w:lang w:val="fr"/>
              </w:rPr>
            </w:pPr>
            <w:r w:rsidRPr="008561C4">
              <w:rPr>
                <w:lang w:val="fr"/>
              </w:rPr>
              <w:t>Rapport final + PPT de présentation pour séance de restitution officielle</w:t>
            </w:r>
          </w:p>
        </w:tc>
        <w:tc>
          <w:tcPr>
            <w:tcW w:w="1559" w:type="dxa"/>
            <w:tcBorders>
              <w:top w:val="single" w:sz="4" w:space="0" w:color="BFBFBF"/>
              <w:left w:val="single" w:sz="4" w:space="0" w:color="BFBFBF"/>
              <w:bottom w:val="single" w:sz="4" w:space="0" w:color="BFBFBF"/>
              <w:right w:val="single" w:sz="4" w:space="0" w:color="BFBFBF"/>
            </w:tcBorders>
          </w:tcPr>
          <w:p w14:paraId="11753454" w14:textId="291BC9D2" w:rsidR="008561C4" w:rsidRPr="008561C4" w:rsidRDefault="008561C4" w:rsidP="008561C4">
            <w:pPr>
              <w:rPr>
                <w:lang w:val="fr"/>
              </w:rPr>
            </w:pPr>
            <w:r w:rsidRPr="008561C4">
              <w:rPr>
                <w:lang w:val="fr"/>
              </w:rPr>
              <w:t>M+5</w:t>
            </w:r>
            <w:r w:rsidR="0052412F">
              <w:rPr>
                <w:lang w:val="fr"/>
              </w:rPr>
              <w:t>mois</w:t>
            </w:r>
            <w:bookmarkStart w:id="39" w:name="_GoBack"/>
            <w:bookmarkEnd w:id="39"/>
          </w:p>
        </w:tc>
      </w:tr>
      <w:tr w:rsidR="008561C4" w:rsidRPr="008561C4" w14:paraId="2DBA198D" w14:textId="77777777" w:rsidTr="00F91116">
        <w:trPr>
          <w:trHeight w:val="591"/>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ACE6985" w14:textId="26F8439E" w:rsidR="008561C4" w:rsidRDefault="008561C4" w:rsidP="008561C4">
            <w:pPr>
              <w:rPr>
                <w:lang w:val="fr"/>
              </w:rPr>
            </w:pPr>
            <w:r w:rsidRPr="00044305">
              <w:rPr>
                <w:rFonts w:asciiTheme="minorHAnsi" w:eastAsia="Times New Roman" w:hAnsiTheme="minorHAnsi" w:cstheme="minorHAnsi"/>
                <w:sz w:val="22"/>
                <w:szCs w:val="22"/>
              </w:rPr>
              <w:t>Evènement de clôture du projet DIASDEV</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BB2F3D4" w14:textId="6B794058" w:rsidR="008561C4" w:rsidRPr="008561C4" w:rsidRDefault="008561C4" w:rsidP="008561C4">
            <w:pPr>
              <w:numPr>
                <w:ilvl w:val="0"/>
                <w:numId w:val="71"/>
              </w:numPr>
              <w:rPr>
                <w:lang w:val="fr"/>
              </w:rPr>
            </w:pPr>
            <w:r w:rsidRPr="008561C4">
              <w:rPr>
                <w:lang w:val="fr"/>
              </w:rPr>
              <w:t>Présentation synthétique</w:t>
            </w:r>
          </w:p>
        </w:tc>
        <w:tc>
          <w:tcPr>
            <w:tcW w:w="1559" w:type="dxa"/>
            <w:tcBorders>
              <w:top w:val="single" w:sz="4" w:space="0" w:color="BFBFBF"/>
              <w:left w:val="single" w:sz="4" w:space="0" w:color="BFBFBF"/>
              <w:bottom w:val="single" w:sz="4" w:space="0" w:color="BFBFBF"/>
              <w:right w:val="single" w:sz="4" w:space="0" w:color="BFBFBF"/>
            </w:tcBorders>
          </w:tcPr>
          <w:p w14:paraId="6B40BDB1" w14:textId="48DF55F7" w:rsidR="008561C4" w:rsidRPr="008561C4" w:rsidRDefault="008561C4" w:rsidP="008561C4">
            <w:pPr>
              <w:rPr>
                <w:lang w:val="fr"/>
              </w:rPr>
            </w:pPr>
            <w:r w:rsidRPr="008561C4">
              <w:rPr>
                <w:lang w:val="fr"/>
              </w:rPr>
              <w:t>Novembre 2026</w:t>
            </w:r>
          </w:p>
        </w:tc>
      </w:tr>
    </w:tbl>
    <w:p w14:paraId="3FF62BFD" w14:textId="77777777" w:rsidR="008561C4" w:rsidRPr="008561C4" w:rsidRDefault="008561C4" w:rsidP="008561C4"/>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8"/>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DA2C6C1" w14:textId="3FE78550" w:rsidR="00F858C5" w:rsidRPr="00F858C5" w:rsidRDefault="00F858C5" w:rsidP="00F858C5">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bookmarkStart w:id="44" w:name="_Toc126921994"/>
      <w:r w:rsidRPr="00F858C5">
        <w:rPr>
          <w:rFonts w:asciiTheme="minorHAnsi" w:eastAsia="Times New Roman" w:hAnsiTheme="minorHAnsi" w:cstheme="minorHAnsi"/>
          <w:sz w:val="22"/>
          <w:szCs w:val="22"/>
        </w:rPr>
        <w:t xml:space="preserve">Les prestations seront exécutées en France si votre siège est à Paris, en distanciel et avec des déplacements </w:t>
      </w:r>
      <w:r w:rsidR="00F64160">
        <w:rPr>
          <w:rFonts w:asciiTheme="minorHAnsi" w:eastAsia="Times New Roman" w:hAnsiTheme="minorHAnsi" w:cstheme="minorHAnsi"/>
          <w:sz w:val="22"/>
          <w:szCs w:val="22"/>
        </w:rPr>
        <w:t xml:space="preserve">au </w:t>
      </w:r>
      <w:r w:rsidR="00EF6F3D">
        <w:rPr>
          <w:rFonts w:asciiTheme="minorHAnsi" w:eastAsia="Times New Roman" w:hAnsiTheme="minorHAnsi" w:cstheme="minorHAnsi"/>
          <w:sz w:val="22"/>
          <w:szCs w:val="22"/>
        </w:rPr>
        <w:t>Cameroun (Yaoundé</w:t>
      </w:r>
      <w:r w:rsidR="00F64160">
        <w:rPr>
          <w:rFonts w:asciiTheme="minorHAnsi" w:eastAsia="Times New Roman" w:hAnsiTheme="minorHAnsi" w:cstheme="minorHAnsi"/>
          <w:sz w:val="22"/>
          <w:szCs w:val="22"/>
        </w:rPr>
        <w:t xml:space="preserve">) 8 </w:t>
      </w:r>
      <w:r w:rsidRPr="00F858C5">
        <w:rPr>
          <w:rFonts w:asciiTheme="minorHAnsi" w:eastAsia="Times New Roman" w:hAnsiTheme="minorHAnsi" w:cstheme="minorHAnsi"/>
          <w:sz w:val="22"/>
          <w:szCs w:val="22"/>
        </w:rPr>
        <w:t>miss</w:t>
      </w:r>
      <w:r w:rsidR="00F64160">
        <w:rPr>
          <w:rFonts w:asciiTheme="minorHAnsi" w:eastAsia="Times New Roman" w:hAnsiTheme="minorHAnsi" w:cstheme="minorHAnsi"/>
          <w:sz w:val="22"/>
          <w:szCs w:val="22"/>
        </w:rPr>
        <w:t>ions pourront être organisées (8</w:t>
      </w:r>
      <w:r w:rsidRPr="00F858C5">
        <w:rPr>
          <w:rFonts w:asciiTheme="minorHAnsi" w:eastAsia="Times New Roman" w:hAnsiTheme="minorHAnsi" w:cstheme="minorHAnsi"/>
          <w:sz w:val="22"/>
          <w:szCs w:val="22"/>
        </w:rPr>
        <w:t xml:space="preserve"> vols – forfaits logistique fixes prévus)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bookmarkEnd w:id="44"/>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lastRenderedPageBreak/>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316627C3" w:rsidR="00122959"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37103F2E" w14:textId="19C0865C" w:rsidR="00F858C5" w:rsidRPr="00A86E43" w:rsidRDefault="00F858C5" w:rsidP="00A1761D">
      <w:pPr>
        <w:pStyle w:val="u"/>
        <w:widowControl w:val="0"/>
        <w:numPr>
          <w:ilvl w:val="12"/>
          <w:numId w:val="0"/>
        </w:numPr>
        <w:ind w:left="567"/>
        <w:rPr>
          <w:rFonts w:asciiTheme="minorHAnsi" w:hAnsiTheme="minorHAnsi" w:cstheme="minorHAnsi"/>
          <w:szCs w:val="22"/>
        </w:rPr>
      </w:pPr>
      <w:r w:rsidRPr="00F858C5">
        <w:rPr>
          <w:rFonts w:asciiTheme="minorHAnsi" w:hAnsiTheme="minorHAnsi" w:cstheme="minorHAnsi"/>
          <w:szCs w:val="22"/>
        </w:rPr>
        <w:t>•</w:t>
      </w:r>
      <w:r w:rsidRPr="00F858C5">
        <w:rPr>
          <w:rFonts w:asciiTheme="minorHAnsi" w:hAnsiTheme="minorHAnsi" w:cstheme="minorHAnsi"/>
          <w:szCs w:val="22"/>
        </w:rPr>
        <w:tab/>
        <w:t>Termes de référence du 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26922000"/>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0AD41BA9" w14:textId="77777777" w:rsidR="00F858C5" w:rsidRPr="00F858C5" w:rsidRDefault="00F858C5" w:rsidP="00F858C5">
            <w:pPr>
              <w:widowControl w:val="0"/>
              <w:numPr>
                <w:ilvl w:val="12"/>
                <w:numId w:val="0"/>
              </w:numPr>
              <w:spacing w:line="240" w:lineRule="auto"/>
              <w:jc w:val="both"/>
              <w:rPr>
                <w:rFonts w:asciiTheme="minorHAnsi" w:hAnsiTheme="minorHAnsi" w:cstheme="minorHAnsi"/>
                <w:smallCaps/>
                <w:sz w:val="22"/>
                <w:szCs w:val="22"/>
              </w:rPr>
            </w:pPr>
            <w:r w:rsidRPr="00F858C5">
              <w:rPr>
                <w:rFonts w:asciiTheme="minorHAnsi" w:hAnsiTheme="minorHAnsi" w:cstheme="minorHAnsi"/>
                <w:smallCaps/>
                <w:sz w:val="22"/>
                <w:szCs w:val="22"/>
              </w:rPr>
              <w:t xml:space="preserve">Expertise France </w:t>
            </w:r>
          </w:p>
          <w:p w14:paraId="0635C910"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Aline Jaeglé, cheffe de projet</w:t>
            </w:r>
          </w:p>
          <w:p w14:paraId="586F13CC"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Département EDI – pôle PEC</w:t>
            </w:r>
          </w:p>
          <w:p w14:paraId="385760A9"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40, boulevard de Port Royal</w:t>
            </w:r>
          </w:p>
          <w:p w14:paraId="011F9325" w14:textId="0B240E49" w:rsidR="00D07897" w:rsidRPr="00A86E43" w:rsidRDefault="00F858C5" w:rsidP="00F858C5">
            <w:pPr>
              <w:widowControl w:val="0"/>
              <w:numPr>
                <w:ilvl w:val="12"/>
                <w:numId w:val="0"/>
              </w:numPr>
              <w:spacing w:line="240" w:lineRule="auto"/>
              <w:jc w:val="both"/>
              <w:rPr>
                <w:rFonts w:asciiTheme="minorHAnsi" w:hAnsiTheme="minorHAnsi" w:cstheme="minorHAnsi"/>
                <w:sz w:val="22"/>
                <w:szCs w:val="22"/>
                <w:highlight w:val="yellow"/>
              </w:rPr>
            </w:pPr>
            <w:r w:rsidRPr="00F858C5">
              <w:rPr>
                <w:rFonts w:asciiTheme="minorHAnsi" w:hAnsiTheme="minorHAnsi" w:cstheme="minorHAnsi"/>
                <w:sz w:val="22"/>
                <w:szCs w:val="22"/>
              </w:rPr>
              <w:t>F-75005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E262D3">
              <w:rPr>
                <w:rFonts w:asciiTheme="minorHAnsi" w:eastAsia="Calibri" w:hAnsiTheme="minorHAnsi" w:cstheme="minorHAnsi"/>
                <w:szCs w:val="22"/>
                <w:highlight w:val="yellow"/>
              </w:rPr>
              <w:t xml:space="preserve">A renseigner par le </w:t>
            </w:r>
            <w:r w:rsidR="00100109" w:rsidRPr="00E262D3">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2C267227" w:rsidR="009766DB"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782D8D8F" w14:textId="77777777" w:rsidR="00F858C5" w:rsidRPr="00A86E43" w:rsidRDefault="00F858C5" w:rsidP="00F858C5">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069C9373" w14:textId="77777777" w:rsidR="00F858C5" w:rsidRDefault="00F858C5" w:rsidP="00F858C5">
      <w:pPr>
        <w:pStyle w:val="u"/>
        <w:widowControl w:val="0"/>
        <w:numPr>
          <w:ilvl w:val="0"/>
          <w:numId w:val="55"/>
        </w:numPr>
        <w:spacing w:before="120"/>
        <w:rPr>
          <w:rFonts w:asciiTheme="minorHAnsi" w:hAnsiTheme="minorHAnsi" w:cs="Arial"/>
          <w:szCs w:val="22"/>
        </w:rPr>
      </w:pPr>
      <w:r w:rsidRPr="000A5BBF">
        <w:rPr>
          <w:rFonts w:asciiTheme="minorHAnsi" w:hAnsiTheme="minorHAnsi" w:cs="Arial"/>
          <w:szCs w:val="22"/>
        </w:rPr>
        <w:t>La mise à jour d’éléments techniques (précisions sur les livrables, définition techniques fabricants, fiches techniques mat</w:t>
      </w:r>
      <w:r>
        <w:rPr>
          <w:rFonts w:asciiTheme="minorHAnsi" w:hAnsiTheme="minorHAnsi" w:cs="Arial"/>
          <w:szCs w:val="22"/>
        </w:rPr>
        <w:t>ériels, évolution des notices…)</w:t>
      </w:r>
      <w:r w:rsidRPr="000A5BBF">
        <w:rPr>
          <w:rFonts w:asciiTheme="minorHAnsi" w:hAnsiTheme="minorHAnsi" w:cs="Arial"/>
          <w:szCs w:val="22"/>
        </w:rPr>
        <w:t>.</w:t>
      </w:r>
    </w:p>
    <w:p w14:paraId="3FD156DA" w14:textId="77777777" w:rsidR="00F858C5" w:rsidRPr="000A5BBF" w:rsidRDefault="00F858C5" w:rsidP="00F858C5">
      <w:pPr>
        <w:pStyle w:val="u"/>
        <w:widowControl w:val="0"/>
        <w:numPr>
          <w:ilvl w:val="0"/>
          <w:numId w:val="55"/>
        </w:numPr>
        <w:spacing w:before="120"/>
        <w:rPr>
          <w:rFonts w:asciiTheme="minorHAnsi" w:hAnsiTheme="minorHAnsi" w:cs="Arial"/>
          <w:szCs w:val="22"/>
        </w:rPr>
      </w:pPr>
      <w:r>
        <w:rPr>
          <w:rFonts w:asciiTheme="minorHAnsi" w:hAnsiTheme="minorHAnsi" w:cs="Arial"/>
          <w:szCs w:val="22"/>
        </w:rPr>
        <w:t>Modification du périmètre d’intervention</w:t>
      </w:r>
    </w:p>
    <w:p w14:paraId="59F60D78" w14:textId="4215D2D9" w:rsidR="00F858C5" w:rsidRPr="00F858C5" w:rsidRDefault="00F858C5" w:rsidP="00F858C5">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lastRenderedPageBreak/>
        <w:t xml:space="preserve">Ces modifications sont notifiées au </w:t>
      </w:r>
      <w:r w:rsidRPr="003A0706">
        <w:rPr>
          <w:rFonts w:asciiTheme="minorHAnsi" w:hAnsiTheme="minorHAnsi" w:cs="Arial"/>
          <w:smallCaps/>
          <w:szCs w:val="22"/>
        </w:rPr>
        <w:t>Contractant</w:t>
      </w:r>
      <w:r w:rsidRPr="00A86E43">
        <w:rPr>
          <w:rFonts w:asciiTheme="minorHAnsi" w:hAnsiTheme="minorHAnsi" w:cs="Arial"/>
          <w:szCs w:val="22"/>
        </w:rPr>
        <w:t xml:space="preserve"> : </w:t>
      </w:r>
      <w:r>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lastRenderedPageBreak/>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71C715D0" w14:textId="77777777" w:rsidR="00F858C5" w:rsidRPr="00F858C5" w:rsidRDefault="00F858C5" w:rsidP="00F858C5">
      <w:pPr>
        <w:spacing w:line="240" w:lineRule="auto"/>
        <w:ind w:left="567"/>
        <w:jc w:val="both"/>
        <w:rPr>
          <w:rFonts w:asciiTheme="minorHAnsi" w:hAnsiTheme="minorHAnsi" w:cstheme="minorHAnsi"/>
          <w:sz w:val="22"/>
          <w:szCs w:val="22"/>
        </w:rPr>
      </w:pPr>
      <w:bookmarkStart w:id="73" w:name="_Toc126922017"/>
      <w:r w:rsidRPr="00F858C5">
        <w:rPr>
          <w:rFonts w:asciiTheme="minorHAnsi" w:hAnsiTheme="minorHAnsi" w:cstheme="minorHAnsi"/>
          <w:sz w:val="22"/>
          <w:szCs w:val="22"/>
        </w:rPr>
        <w:t xml:space="preserve">Le présent </w:t>
      </w:r>
      <w:r w:rsidRPr="00F858C5">
        <w:rPr>
          <w:rFonts w:asciiTheme="minorHAnsi" w:hAnsiTheme="minorHAnsi" w:cstheme="minorHAnsi"/>
          <w:smallCaps/>
          <w:sz w:val="22"/>
          <w:szCs w:val="22"/>
        </w:rPr>
        <w:t>contrat</w:t>
      </w:r>
      <w:r w:rsidRPr="00F858C5">
        <w:rPr>
          <w:rFonts w:asciiTheme="minorHAnsi" w:hAnsiTheme="minorHAnsi" w:cstheme="minorHAnsi"/>
          <w:sz w:val="22"/>
          <w:szCs w:val="22"/>
        </w:rPr>
        <w:t xml:space="preserve"> est soumis aux clauses de résiliation telle que définies aux articles 38 et 39 du CCAG PI.</w:t>
      </w:r>
    </w:p>
    <w:p w14:paraId="7D9CB815" w14:textId="77777777" w:rsidR="00F858C5" w:rsidRPr="00F858C5" w:rsidRDefault="00F858C5" w:rsidP="00F858C5">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 xml:space="preserve">En cas de résiliation anticipée, le </w:t>
      </w:r>
      <w:r w:rsidRPr="00F858C5">
        <w:rPr>
          <w:rFonts w:asciiTheme="minorHAnsi" w:eastAsia="Times New Roman" w:hAnsiTheme="minorHAnsi" w:cstheme="minorHAnsi"/>
          <w:smallCaps/>
          <w:sz w:val="22"/>
          <w:szCs w:val="22"/>
        </w:rPr>
        <w:t>Contractant</w:t>
      </w:r>
      <w:r w:rsidRPr="00F858C5">
        <w:rPr>
          <w:rFonts w:asciiTheme="minorHAnsi" w:eastAsia="Times New Roman" w:hAnsiTheme="minorHAnsi" w:cstheme="minorHAnsi"/>
          <w:sz w:val="22"/>
          <w:szCs w:val="22"/>
        </w:rPr>
        <w:t xml:space="preserve"> devra restituer immédiatement à </w:t>
      </w:r>
      <w:r w:rsidRPr="00F858C5">
        <w:rPr>
          <w:rFonts w:asciiTheme="minorHAnsi" w:hAnsiTheme="minorHAnsi" w:cstheme="minorHAnsi"/>
          <w:smallCaps/>
          <w:sz w:val="22"/>
          <w:szCs w:val="22"/>
        </w:rPr>
        <w:t>Expertise France</w:t>
      </w:r>
      <w:r w:rsidRPr="00F858C5">
        <w:rPr>
          <w:rFonts w:asciiTheme="minorHAnsi" w:eastAsia="Times New Roman" w:hAnsiTheme="minorHAnsi" w:cstheme="minorHAnsi"/>
          <w:sz w:val="22"/>
          <w:szCs w:val="22"/>
        </w:rPr>
        <w:t xml:space="preserve"> l’ensemble des documents qui lui auront été confiés dans le cadre de l’exécution du présent </w:t>
      </w:r>
      <w:r w:rsidRPr="00F858C5">
        <w:rPr>
          <w:rFonts w:asciiTheme="minorHAnsi" w:eastAsia="Times New Roman" w:hAnsiTheme="minorHAnsi" w:cstheme="minorHAnsi"/>
          <w:smallCaps/>
          <w:sz w:val="22"/>
          <w:szCs w:val="22"/>
        </w:rPr>
        <w:t>contrat</w:t>
      </w:r>
      <w:r w:rsidRPr="00F858C5">
        <w:rPr>
          <w:rFonts w:asciiTheme="minorHAnsi" w:eastAsia="Times New Roman" w:hAnsiTheme="minorHAnsi" w:cstheme="minorHAnsi"/>
          <w:sz w:val="22"/>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6BE3CBC6" w14:textId="77777777" w:rsidR="00F858C5" w:rsidRPr="00F858C5" w:rsidRDefault="00F858C5" w:rsidP="00F858C5">
      <w:pPr>
        <w:spacing w:line="240" w:lineRule="auto"/>
        <w:ind w:left="567"/>
        <w:jc w:val="both"/>
        <w:rPr>
          <w:rFonts w:asciiTheme="minorHAnsi" w:hAnsiTheme="minorHAnsi" w:cstheme="minorHAnsi"/>
          <w:sz w:val="22"/>
          <w:szCs w:val="22"/>
        </w:rPr>
      </w:pPr>
      <w:bookmarkStart w:id="74" w:name="_Toc126922018"/>
      <w:r w:rsidRPr="00F858C5">
        <w:rPr>
          <w:rFonts w:asciiTheme="minorHAnsi" w:hAnsiTheme="minorHAnsi" w:cstheme="minorHAnsi"/>
          <w:sz w:val="22"/>
          <w:szCs w:val="22"/>
        </w:rPr>
        <w:t xml:space="preserve">En cas d’indisponibilité d’un expert désigné, le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 xml:space="preserve"> doit en informer </w:t>
      </w:r>
      <w:r w:rsidRPr="00F858C5">
        <w:rPr>
          <w:rFonts w:asciiTheme="minorHAnsi" w:hAnsiTheme="minorHAnsi" w:cstheme="minorHAnsi"/>
          <w:smallCaps/>
          <w:sz w:val="22"/>
          <w:szCs w:val="22"/>
        </w:rPr>
        <w:t>Expertise France</w:t>
      </w:r>
      <w:r w:rsidRPr="00F858C5">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Pr="00F858C5">
        <w:rPr>
          <w:rFonts w:asciiTheme="minorHAnsi" w:hAnsiTheme="minorHAnsi" w:cstheme="minorHAnsi"/>
          <w:smallCaps/>
          <w:sz w:val="22"/>
          <w:szCs w:val="22"/>
        </w:rPr>
        <w:t xml:space="preserve">Expertise France </w:t>
      </w:r>
      <w:r w:rsidRPr="00F858C5">
        <w:rPr>
          <w:rFonts w:asciiTheme="minorHAnsi" w:hAnsiTheme="minorHAnsi" w:cstheme="minorHAnsi"/>
          <w:sz w:val="22"/>
          <w:szCs w:val="22"/>
        </w:rPr>
        <w:t xml:space="preserve">pourra résilier le contrat pour faute du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w:t>
      </w:r>
    </w:p>
    <w:p w14:paraId="1D0D66CA" w14:textId="77777777" w:rsidR="00F858C5" w:rsidRPr="00F858C5" w:rsidRDefault="00F858C5" w:rsidP="00F858C5">
      <w:pPr>
        <w:spacing w:line="240" w:lineRule="auto"/>
        <w:ind w:left="567"/>
        <w:jc w:val="both"/>
        <w:rPr>
          <w:rFonts w:asciiTheme="minorHAnsi" w:hAnsiTheme="minorHAnsi" w:cstheme="minorHAnsi"/>
          <w:sz w:val="22"/>
          <w:szCs w:val="22"/>
        </w:rPr>
      </w:pPr>
    </w:p>
    <w:p w14:paraId="262D109A" w14:textId="77777777" w:rsidR="00F858C5" w:rsidRPr="00F858C5" w:rsidRDefault="00F858C5" w:rsidP="00F858C5">
      <w:pPr>
        <w:spacing w:line="240" w:lineRule="auto"/>
        <w:ind w:left="567"/>
        <w:jc w:val="both"/>
        <w:rPr>
          <w:rFonts w:asciiTheme="minorHAnsi" w:hAnsiTheme="minorHAnsi" w:cstheme="minorHAnsi"/>
          <w:sz w:val="22"/>
          <w:szCs w:val="22"/>
        </w:rPr>
      </w:pPr>
      <w:r w:rsidRPr="00F858C5">
        <w:rPr>
          <w:rFonts w:asciiTheme="minorHAnsi" w:hAnsiTheme="minorHAnsi" w:cstheme="minorHAnsi"/>
          <w:sz w:val="22"/>
          <w:szCs w:val="22"/>
        </w:rPr>
        <w:t xml:space="preserve">En toute hypothèse, si un expert désigné reste indisponible sur une durée cumulée de XX semaines sans trouver de remplaçant satisfaisant, </w:t>
      </w:r>
      <w:r w:rsidRPr="00F858C5">
        <w:rPr>
          <w:rFonts w:asciiTheme="minorHAnsi" w:hAnsiTheme="minorHAnsi" w:cstheme="minorHAnsi"/>
          <w:smallCaps/>
          <w:sz w:val="22"/>
          <w:szCs w:val="22"/>
        </w:rPr>
        <w:t xml:space="preserve">Expertise France </w:t>
      </w:r>
      <w:r w:rsidRPr="00F858C5">
        <w:rPr>
          <w:rFonts w:asciiTheme="minorHAnsi" w:hAnsiTheme="minorHAnsi" w:cstheme="minorHAnsi"/>
          <w:sz w:val="22"/>
          <w:szCs w:val="22"/>
        </w:rPr>
        <w:t xml:space="preserve">pourra résilier de plein droit le </w:t>
      </w:r>
      <w:r w:rsidRPr="00F858C5">
        <w:rPr>
          <w:rFonts w:asciiTheme="minorHAnsi" w:hAnsiTheme="minorHAnsi" w:cstheme="minorHAnsi"/>
          <w:smallCaps/>
          <w:sz w:val="22"/>
          <w:szCs w:val="22"/>
        </w:rPr>
        <w:t>contrat</w:t>
      </w:r>
      <w:r w:rsidRPr="00F858C5">
        <w:rPr>
          <w:rFonts w:asciiTheme="minorHAnsi" w:hAnsiTheme="minorHAnsi" w:cstheme="minorHAnsi"/>
          <w:sz w:val="22"/>
          <w:szCs w:val="22"/>
        </w:rPr>
        <w:t>.</w:t>
      </w:r>
    </w:p>
    <w:p w14:paraId="29E2A6C8" w14:textId="77777777" w:rsidR="00F858C5" w:rsidRPr="00F858C5" w:rsidRDefault="00F858C5" w:rsidP="00F858C5">
      <w:pPr>
        <w:spacing w:line="240" w:lineRule="auto"/>
        <w:ind w:left="567"/>
        <w:jc w:val="both"/>
        <w:rPr>
          <w:rFonts w:asciiTheme="minorHAnsi" w:hAnsiTheme="minorHAnsi" w:cstheme="minorHAnsi"/>
          <w:sz w:val="22"/>
          <w:szCs w:val="22"/>
        </w:rPr>
      </w:pPr>
      <w:r w:rsidRPr="00F858C5">
        <w:rPr>
          <w:rFonts w:asciiTheme="minorHAnsi" w:hAnsiTheme="minorHAnsi" w:cstheme="minorHAnsi"/>
          <w:sz w:val="22"/>
          <w:szCs w:val="22"/>
        </w:rPr>
        <w:t xml:space="preserve">La résiliation en cas d’indisponibilité d’un expert désigné n’ouvrira droit à aucune sorte d’indemnité au profit du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6">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7"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6FEE56B3"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581022C" w14:textId="77777777" w:rsidR="00F858C5" w:rsidRPr="00E41C9A" w:rsidRDefault="00F858C5" w:rsidP="00DA114C">
      <w:pPr>
        <w:widowControl w:val="0"/>
        <w:tabs>
          <w:tab w:val="left" w:pos="567"/>
        </w:tabs>
        <w:spacing w:before="120" w:line="240" w:lineRule="auto"/>
        <w:ind w:left="567"/>
        <w:jc w:val="both"/>
        <w:rPr>
          <w:rFonts w:ascii="Calibri" w:eastAsia="Times New Roman" w:hAnsi="Calibri" w:cs="Calibri"/>
          <w:sz w:val="22"/>
        </w:rPr>
      </w:pPr>
    </w:p>
    <w:p w14:paraId="6DF03323" w14:textId="7B733684" w:rsidR="00822D98" w:rsidRDefault="002C0411" w:rsidP="00F858C5">
      <w:pPr>
        <w:widowControl w:val="0"/>
        <w:tabs>
          <w:tab w:val="left" w:pos="567"/>
        </w:tabs>
        <w:spacing w:before="120" w:line="240" w:lineRule="auto"/>
        <w:ind w:left="567"/>
        <w:jc w:val="both"/>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3"/>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18499A5C" w:rsid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AB3854D" w14:textId="2CC53F61" w:rsidR="00F858C5" w:rsidRDefault="00F858C5" w:rsidP="00822D98">
      <w:pPr>
        <w:spacing w:before="120" w:line="240" w:lineRule="auto"/>
        <w:ind w:left="567"/>
        <w:jc w:val="both"/>
        <w:rPr>
          <w:rFonts w:asciiTheme="minorHAnsi" w:eastAsia="Times New Roman" w:hAnsiTheme="minorHAnsi" w:cstheme="minorHAnsi"/>
          <w:sz w:val="22"/>
          <w:szCs w:val="22"/>
        </w:rPr>
      </w:pPr>
    </w:p>
    <w:p w14:paraId="5D34645B" w14:textId="77777777" w:rsidR="00F858C5" w:rsidRPr="00F858C5" w:rsidRDefault="00F858C5" w:rsidP="00F858C5">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article 5 déroge aux dispositions de l’article 28 et 30 du CCAG/PI ;</w:t>
      </w:r>
    </w:p>
    <w:p w14:paraId="3DFACC54" w14:textId="77777777" w:rsidR="00F858C5" w:rsidRPr="00F858C5" w:rsidRDefault="00F858C5" w:rsidP="00F858C5">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article 9 déroge aux dispositions de l’article 14 du CCAG-PI ;</w:t>
      </w:r>
    </w:p>
    <w:p w14:paraId="0914F69C" w14:textId="64552D24" w:rsidR="00F858C5" w:rsidRPr="00F858C5" w:rsidRDefault="00F858C5" w:rsidP="00F858C5">
      <w:pPr>
        <w:widowControl w:val="0"/>
        <w:numPr>
          <w:ilvl w:val="0"/>
          <w:numId w:val="12"/>
        </w:numPr>
        <w:autoSpaceDE w:val="0"/>
        <w:autoSpaceDN w:val="0"/>
        <w:adjustRightInd w:val="0"/>
        <w:spacing w:before="120" w:line="240" w:lineRule="auto"/>
        <w:contextualSpacing/>
        <w:jc w:val="both"/>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article 11 déroge aux dispositions des articles 38 et 39 du CCAG PI.</w:t>
      </w:r>
    </w:p>
    <w:p w14:paraId="07FD2845" w14:textId="73C01244" w:rsidR="002E47F9" w:rsidRPr="00A86E43" w:rsidRDefault="00F858C5"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w:t>
      </w:r>
      <w:r w:rsidR="00822D98">
        <w:rPr>
          <w:rFonts w:asciiTheme="minorHAnsi" w:hAnsiTheme="minorHAnsi"/>
          <w:b/>
          <w:caps/>
          <w:sz w:val="24"/>
          <w:u w:val="single"/>
        </w:rPr>
        <w:t>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5"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6" w:name="_Toc126922022"/>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26922025"/>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lastRenderedPageBreak/>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19"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0"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1"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2"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3"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6C8C7A9C"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w:t>
      </w:r>
      <w:r w:rsidR="00F858C5">
        <w:rPr>
          <w:rFonts w:asciiTheme="minorHAnsi" w:eastAsia="Times New Roman" w:hAnsiTheme="minorHAnsi" w:cs="Arial"/>
          <w:sz w:val="22"/>
          <w:szCs w:val="22"/>
        </w:rPr>
        <w:t>..………....….., le...…….....2025</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3DE6CAA" w:rsidR="003E0CA3" w:rsidRPr="001B5605" w:rsidRDefault="00E731BE"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Paris</w:t>
      </w:r>
      <w:r w:rsidR="00F858C5">
        <w:rPr>
          <w:rFonts w:asciiTheme="minorHAnsi" w:eastAsia="Times New Roman" w:hAnsiTheme="minorHAnsi" w:cs="Arial"/>
          <w:sz w:val="22"/>
          <w:szCs w:val="22"/>
        </w:rPr>
        <w:t>, le...…….....2025</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4"/>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5"/>
      <w:footerReference w:type="even" r:id="rId26"/>
      <w:footerReference w:type="default" r:id="rId27"/>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115D1" w14:textId="77777777" w:rsidR="00E87F8B" w:rsidRDefault="00E87F8B">
      <w:r>
        <w:separator/>
      </w:r>
    </w:p>
  </w:endnote>
  <w:endnote w:type="continuationSeparator" w:id="0">
    <w:p w14:paraId="756BB57B" w14:textId="77777777" w:rsidR="00E87F8B" w:rsidRDefault="00E87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540DBA" w:rsidRDefault="00540DBA"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3C5E0FAD" w:rsidR="00540DBA" w:rsidRDefault="00540DB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2412F">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2412F">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540DBA" w:rsidRDefault="00E87F8B"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540DBA" w:rsidRDefault="00540DBA"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B794C59" w:rsidR="00540DBA" w:rsidRDefault="00540DB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2412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2412F">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540DBA" w:rsidRDefault="00540DB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540DBA" w:rsidRDefault="00540DBA"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540DBA" w:rsidRPr="00065565" w:rsidRDefault="00540DBA"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540DBA" w:rsidRDefault="00540DBA">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540DBA" w:rsidRPr="00EE0FDD" w:rsidRDefault="00540DBA"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1E679AA8" w:rsidR="00540DBA" w:rsidRPr="00FF1F8E" w:rsidRDefault="00540DBA"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2412F">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2412F">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429DC" w14:textId="77777777" w:rsidR="00E87F8B" w:rsidRDefault="00E87F8B">
      <w:r>
        <w:separator/>
      </w:r>
    </w:p>
  </w:footnote>
  <w:footnote w:type="continuationSeparator" w:id="0">
    <w:p w14:paraId="0EF0097A" w14:textId="77777777" w:rsidR="00E87F8B" w:rsidRDefault="00E87F8B">
      <w:r>
        <w:continuationSeparator/>
      </w:r>
    </w:p>
  </w:footnote>
  <w:footnote w:id="1">
    <w:p w14:paraId="73F627CC" w14:textId="77777777" w:rsidR="00540DBA" w:rsidRPr="00B21564" w:rsidRDefault="00540DBA"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540DBA" w:rsidRPr="00A86E43" w:rsidRDefault="00540DBA"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540DBA" w:rsidRDefault="00540DBA"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540DBA" w:rsidRPr="00707B69" w:rsidRDefault="00540DBA"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540DBA" w:rsidRPr="00AC48DD" w:rsidRDefault="00540DB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540DBA" w:rsidRDefault="00540DB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540DBA" w:rsidRPr="00AC48DD" w:rsidRDefault="00540DB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540DBA" w:rsidRDefault="00540DBA">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540DBA" w:rsidRDefault="00540DB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540DBA" w:rsidRPr="00707B69" w:rsidRDefault="00540DBA"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540DBA" w:rsidRPr="00AC48DD" w:rsidRDefault="00540DB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540DBA" w:rsidRDefault="00540DB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540DBA" w:rsidRPr="00AC48DD" w:rsidRDefault="00540DB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540DBA" w:rsidRPr="00707B69" w:rsidRDefault="00540DBA"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540DBA" w:rsidRPr="00AC48DD" w:rsidRDefault="00540DBA"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540DBA" w:rsidRDefault="00540DBA"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540DBA" w:rsidRPr="00996FEA" w:rsidRDefault="00540DBA"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2B5D37"/>
    <w:multiLevelType w:val="multilevel"/>
    <w:tmpl w:val="97C041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1FF0765"/>
    <w:multiLevelType w:val="multilevel"/>
    <w:tmpl w:val="CCDCBF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5E0B50"/>
    <w:multiLevelType w:val="multilevel"/>
    <w:tmpl w:val="4F76BE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6C511B"/>
    <w:multiLevelType w:val="multilevel"/>
    <w:tmpl w:val="030E9AFE"/>
    <w:lvl w:ilvl="0">
      <w:start w:val="1"/>
      <w:numFmt w:val="decimal"/>
      <w:lvlText w:val="ARTICLE %1 :"/>
      <w:lvlJc w:val="left"/>
      <w:pPr>
        <w:ind w:left="518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20"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9E73925"/>
    <w:multiLevelType w:val="multilevel"/>
    <w:tmpl w:val="DF043930"/>
    <w:lvl w:ilvl="0">
      <w:numFmt w:val="bullet"/>
      <w:lvlText w:val="-"/>
      <w:lvlJc w:val="left"/>
      <w:pPr>
        <w:ind w:left="72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D887395"/>
    <w:multiLevelType w:val="hybridMultilevel"/>
    <w:tmpl w:val="D73EE514"/>
    <w:lvl w:ilvl="0" w:tplc="251E495C">
      <w:start w:val="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7"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40"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3"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4"/>
  </w:num>
  <w:num w:numId="3">
    <w:abstractNumId w:val="9"/>
  </w:num>
  <w:num w:numId="4">
    <w:abstractNumId w:val="46"/>
  </w:num>
  <w:num w:numId="5">
    <w:abstractNumId w:val="8"/>
  </w:num>
  <w:num w:numId="6">
    <w:abstractNumId w:val="52"/>
  </w:num>
  <w:num w:numId="7">
    <w:abstractNumId w:val="21"/>
  </w:num>
  <w:num w:numId="8">
    <w:abstractNumId w:val="35"/>
  </w:num>
  <w:num w:numId="9">
    <w:abstractNumId w:val="18"/>
  </w:num>
  <w:num w:numId="10">
    <w:abstractNumId w:val="25"/>
  </w:num>
  <w:num w:numId="11">
    <w:abstractNumId w:val="30"/>
  </w:num>
  <w:num w:numId="12">
    <w:abstractNumId w:val="23"/>
  </w:num>
  <w:num w:numId="13">
    <w:abstractNumId w:val="51"/>
  </w:num>
  <w:num w:numId="14">
    <w:abstractNumId w:val="15"/>
  </w:num>
  <w:num w:numId="15">
    <w:abstractNumId w:val="55"/>
  </w:num>
  <w:num w:numId="16">
    <w:abstractNumId w:val="38"/>
  </w:num>
  <w:num w:numId="17">
    <w:abstractNumId w:val="60"/>
  </w:num>
  <w:num w:numId="18">
    <w:abstractNumId w:val="0"/>
    <w:lvlOverride w:ilvl="0">
      <w:startOverride w:val="1"/>
    </w:lvlOverride>
  </w:num>
  <w:num w:numId="19">
    <w:abstractNumId w:val="40"/>
  </w:num>
  <w:num w:numId="20">
    <w:abstractNumId w:val="1"/>
  </w:num>
  <w:num w:numId="21">
    <w:abstractNumId w:val="62"/>
  </w:num>
  <w:num w:numId="22">
    <w:abstractNumId w:val="61"/>
  </w:num>
  <w:num w:numId="23">
    <w:abstractNumId w:val="41"/>
  </w:num>
  <w:num w:numId="24">
    <w:abstractNumId w:val="49"/>
  </w:num>
  <w:num w:numId="25">
    <w:abstractNumId w:val="20"/>
  </w:num>
  <w:num w:numId="26">
    <w:abstractNumId w:val="39"/>
  </w:num>
  <w:num w:numId="27">
    <w:abstractNumId w:val="59"/>
  </w:num>
  <w:num w:numId="28">
    <w:abstractNumId w:val="17"/>
  </w:num>
  <w:num w:numId="29">
    <w:abstractNumId w:val="14"/>
  </w:num>
  <w:num w:numId="30">
    <w:abstractNumId w:val="16"/>
  </w:num>
  <w:num w:numId="31">
    <w:abstractNumId w:val="2"/>
  </w:num>
  <w:num w:numId="32">
    <w:abstractNumId w:val="27"/>
  </w:num>
  <w:num w:numId="33">
    <w:abstractNumId w:val="28"/>
  </w:num>
  <w:num w:numId="34">
    <w:abstractNumId w:val="32"/>
  </w:num>
  <w:num w:numId="35">
    <w:abstractNumId w:val="50"/>
  </w:num>
  <w:num w:numId="36">
    <w:abstractNumId w:val="22"/>
  </w:num>
  <w:num w:numId="37">
    <w:abstractNumId w:val="44"/>
  </w:num>
  <w:num w:numId="38">
    <w:abstractNumId w:val="5"/>
  </w:num>
  <w:num w:numId="39">
    <w:abstractNumId w:val="58"/>
  </w:num>
  <w:num w:numId="40">
    <w:abstractNumId w:val="56"/>
  </w:num>
  <w:num w:numId="41">
    <w:abstractNumId w:val="53"/>
  </w:num>
  <w:num w:numId="42">
    <w:abstractNumId w:val="42"/>
  </w:num>
  <w:num w:numId="43">
    <w:abstractNumId w:val="12"/>
  </w:num>
  <w:num w:numId="44">
    <w:abstractNumId w:val="47"/>
  </w:num>
  <w:num w:numId="45">
    <w:abstractNumId w:val="14"/>
  </w:num>
  <w:num w:numId="46">
    <w:abstractNumId w:val="14"/>
  </w:num>
  <w:num w:numId="47">
    <w:abstractNumId w:val="48"/>
  </w:num>
  <w:num w:numId="48">
    <w:abstractNumId w:val="4"/>
  </w:num>
  <w:num w:numId="49">
    <w:abstractNumId w:val="37"/>
  </w:num>
  <w:num w:numId="50">
    <w:abstractNumId w:val="43"/>
  </w:num>
  <w:num w:numId="51">
    <w:abstractNumId w:val="19"/>
  </w:num>
  <w:num w:numId="52">
    <w:abstractNumId w:val="10"/>
  </w:num>
  <w:num w:numId="53">
    <w:abstractNumId w:val="33"/>
  </w:num>
  <w:num w:numId="54">
    <w:abstractNumId w:val="54"/>
  </w:num>
  <w:num w:numId="55">
    <w:abstractNumId w:val="29"/>
  </w:num>
  <w:num w:numId="56">
    <w:abstractNumId w:val="34"/>
  </w:num>
  <w:num w:numId="57">
    <w:abstractNumId w:val="36"/>
  </w:num>
  <w:num w:numId="58">
    <w:abstractNumId w:val="29"/>
  </w:num>
  <w:num w:numId="59">
    <w:abstractNumId w:val="31"/>
  </w:num>
  <w:num w:numId="60">
    <w:abstractNumId w:val="29"/>
  </w:num>
  <w:num w:numId="61">
    <w:abstractNumId w:val="45"/>
  </w:num>
  <w:num w:numId="62">
    <w:abstractNumId w:val="57"/>
  </w:num>
  <w:num w:numId="63">
    <w:abstractNumId w:val="7"/>
  </w:num>
  <w:num w:numId="64">
    <w:abstractNumId w:val="62"/>
  </w:num>
  <w:num w:numId="65">
    <w:abstractNumId w:val="62"/>
  </w:num>
  <w:num w:numId="66">
    <w:abstractNumId w:val="6"/>
  </w:num>
  <w:num w:numId="67">
    <w:abstractNumId w:val="24"/>
  </w:num>
  <w:num w:numId="68">
    <w:abstractNumId w:val="26"/>
  </w:num>
  <w:num w:numId="69">
    <w:abstractNumId w:val="3"/>
  </w:num>
  <w:num w:numId="70">
    <w:abstractNumId w:val="13"/>
  </w:num>
  <w:num w:numId="71">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4305"/>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0A5E"/>
    <w:rsid w:val="00101663"/>
    <w:rsid w:val="00104E87"/>
    <w:rsid w:val="00110630"/>
    <w:rsid w:val="001122EF"/>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A032A"/>
    <w:rsid w:val="001B140A"/>
    <w:rsid w:val="001B5605"/>
    <w:rsid w:val="001B6DF5"/>
    <w:rsid w:val="001C7353"/>
    <w:rsid w:val="001C7BE2"/>
    <w:rsid w:val="001D458E"/>
    <w:rsid w:val="001D4CA1"/>
    <w:rsid w:val="001D7448"/>
    <w:rsid w:val="001E008E"/>
    <w:rsid w:val="001E12A9"/>
    <w:rsid w:val="001E2FD5"/>
    <w:rsid w:val="001E311F"/>
    <w:rsid w:val="001E4CCB"/>
    <w:rsid w:val="001F5134"/>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3784"/>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15097"/>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3C82"/>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26EF"/>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12F"/>
    <w:rsid w:val="00524491"/>
    <w:rsid w:val="0053564D"/>
    <w:rsid w:val="00540DA7"/>
    <w:rsid w:val="00540DBA"/>
    <w:rsid w:val="005436FE"/>
    <w:rsid w:val="0054775A"/>
    <w:rsid w:val="00554974"/>
    <w:rsid w:val="00554D33"/>
    <w:rsid w:val="005554F6"/>
    <w:rsid w:val="00555635"/>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271C4"/>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65B9"/>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F5"/>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D7E63"/>
    <w:rsid w:val="007D7E6D"/>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561C4"/>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4E14"/>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D51ED"/>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1094"/>
    <w:rsid w:val="00C84056"/>
    <w:rsid w:val="00C85784"/>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2D3"/>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31BE"/>
    <w:rsid w:val="00E80742"/>
    <w:rsid w:val="00E849ED"/>
    <w:rsid w:val="00E87088"/>
    <w:rsid w:val="00E87263"/>
    <w:rsid w:val="00E87F8B"/>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EF6F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416"/>
    <w:rsid w:val="00F42E94"/>
    <w:rsid w:val="00F51120"/>
    <w:rsid w:val="00F53E95"/>
    <w:rsid w:val="00F54BCF"/>
    <w:rsid w:val="00F555D8"/>
    <w:rsid w:val="00F5717F"/>
    <w:rsid w:val="00F62F27"/>
    <w:rsid w:val="00F62F6C"/>
    <w:rsid w:val="00F63346"/>
    <w:rsid w:val="00F64160"/>
    <w:rsid w:val="00F7095D"/>
    <w:rsid w:val="00F70BD0"/>
    <w:rsid w:val="00F71519"/>
    <w:rsid w:val="00F72033"/>
    <w:rsid w:val="00F766D6"/>
    <w:rsid w:val="00F812F5"/>
    <w:rsid w:val="00F838D4"/>
    <w:rsid w:val="00F843EC"/>
    <w:rsid w:val="00F858C5"/>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References,Bullets,List Paragraph2,Text,Liste couleur - Accent 11,- List tir,liste 1,puce 1,Puces,Titre1,Paragraphe 2,Retrait 3,List Paragraph (numbered (a)),Lapis Bulleted List,Dot p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References Car,Bullets Car,List Paragraph2 Car,Text Car,Liste couleur - Accent 11 Car,- List tir Car,liste 1 Car,puce 1 Car,Puces Car,Titre1 Car,Paragraphe 2 Car,Dot pt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99"/>
    <w:rsid w:val="00627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F858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sanctionsmap.e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xpertisefrance.f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worldbank.org/en/projects-operations/procurement/debarred-firms"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un.org/securitycouncil/content/un-sc-consolidated-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home.treasury.gov/policy-issues/financial-sanctions/sanctions-programs-and-country-information"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95CD2-38EE-4A80-9AF8-31B9FC21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49</TotalTime>
  <Pages>1</Pages>
  <Words>6412</Words>
  <Characters>35267</Characters>
  <Application>Microsoft Office Word</Application>
  <DocSecurity>0</DocSecurity>
  <Lines>293</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41596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14</cp:revision>
  <cp:lastPrinted>2014-11-19T14:39:00Z</cp:lastPrinted>
  <dcterms:created xsi:type="dcterms:W3CDTF">2025-04-11T16:50:00Z</dcterms:created>
  <dcterms:modified xsi:type="dcterms:W3CDTF">2025-10-28T14:46:00Z</dcterms:modified>
</cp:coreProperties>
</file>